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FE7" w:rsidRPr="003B7FE7" w:rsidRDefault="003B7FE7" w:rsidP="003B7FE7">
      <w:pPr>
        <w:widowControl w:val="0"/>
        <w:tabs>
          <w:tab w:val="left" w:pos="1375"/>
        </w:tabs>
        <w:autoSpaceDE w:val="0"/>
        <w:autoSpaceDN w:val="0"/>
        <w:spacing w:line="240" w:lineRule="auto"/>
        <w:outlineLvl w:val="0"/>
        <w:rPr>
          <w:rFonts w:ascii="Arial" w:hAnsi="Arial" w:cs="Arial"/>
          <w:b/>
          <w:bCs/>
          <w:sz w:val="22"/>
          <w:lang w:val="en-GB"/>
        </w:rPr>
      </w:pPr>
      <w:r w:rsidRPr="003B7FE7">
        <w:rPr>
          <w:rFonts w:ascii="Arial" w:hAnsi="Arial" w:cs="Arial"/>
          <w:b/>
          <w:bCs/>
          <w:sz w:val="22"/>
          <w:lang w:val="en-GB"/>
        </w:rPr>
        <w:t xml:space="preserve">3GPP TSG RAN WG1 </w:t>
      </w:r>
      <w:r w:rsidR="002341D4">
        <w:rPr>
          <w:rFonts w:ascii="Arial" w:hAnsi="Arial" w:cs="Arial" w:hint="eastAsia"/>
          <w:b/>
          <w:bCs/>
          <w:sz w:val="22"/>
          <w:lang w:val="en-GB"/>
        </w:rPr>
        <w:t xml:space="preserve">Meeting </w:t>
      </w:r>
      <w:r w:rsidR="00D63D50" w:rsidRPr="00D63D50">
        <w:rPr>
          <w:rFonts w:ascii="Arial" w:eastAsia="宋体" w:hAnsi="Arial" w:cs="Arial"/>
          <w:b/>
          <w:bCs/>
          <w:sz w:val="22"/>
          <w:lang w:val="en-GB"/>
        </w:rPr>
        <w:t>9</w:t>
      </w:r>
      <w:r w:rsidR="00783B4C">
        <w:rPr>
          <w:rFonts w:ascii="Arial" w:eastAsia="宋体" w:hAnsi="Arial" w:cs="Arial" w:hint="eastAsia"/>
          <w:b/>
          <w:bCs/>
          <w:sz w:val="22"/>
          <w:lang w:val="en-GB"/>
        </w:rPr>
        <w:t>1</w:t>
      </w:r>
      <w:r w:rsidRPr="003B7FE7">
        <w:rPr>
          <w:rFonts w:ascii="Arial" w:hAnsi="Arial" w:cs="Arial" w:hint="eastAsia"/>
          <w:b/>
          <w:bCs/>
          <w:sz w:val="22"/>
          <w:lang w:val="en-GB"/>
        </w:rPr>
        <w:t xml:space="preserve">                                     </w:t>
      </w:r>
      <w:r w:rsidR="00B32505" w:rsidRPr="00B32505">
        <w:rPr>
          <w:rFonts w:ascii="Arial" w:hAnsi="Arial" w:cs="Arial"/>
          <w:b/>
          <w:bCs/>
          <w:sz w:val="22"/>
          <w:lang w:val="en-GB"/>
        </w:rPr>
        <w:t>R1-1720367</w:t>
      </w:r>
    </w:p>
    <w:p w:rsidR="003B7FE7" w:rsidRPr="003B7FE7" w:rsidRDefault="00783B4C" w:rsidP="003B7FE7">
      <w:pPr>
        <w:widowControl w:val="0"/>
        <w:tabs>
          <w:tab w:val="left" w:pos="1701"/>
        </w:tabs>
        <w:autoSpaceDE w:val="0"/>
        <w:autoSpaceDN w:val="0"/>
        <w:spacing w:line="240" w:lineRule="auto"/>
        <w:outlineLvl w:val="0"/>
        <w:rPr>
          <w:rFonts w:ascii="Arial" w:hAnsi="Arial" w:cs="Arial"/>
          <w:b/>
          <w:bCs/>
          <w:sz w:val="22"/>
          <w:lang w:val="en-GB"/>
        </w:rPr>
      </w:pPr>
      <w:r>
        <w:rPr>
          <w:rFonts w:ascii="Arial" w:eastAsia="宋体" w:hAnsi="Arial" w:cs="Arial" w:hint="eastAsia"/>
          <w:b/>
          <w:bCs/>
          <w:sz w:val="22"/>
          <w:lang w:val="en-GB"/>
        </w:rPr>
        <w:t>Reno</w:t>
      </w:r>
      <w:r w:rsidR="00D63D50" w:rsidRPr="00D63D50">
        <w:rPr>
          <w:rFonts w:ascii="Arial" w:eastAsia="宋体" w:hAnsi="Arial" w:cs="Arial"/>
          <w:b/>
          <w:bCs/>
          <w:sz w:val="22"/>
          <w:lang w:val="en-GB"/>
        </w:rPr>
        <w:t xml:space="preserve">, </w:t>
      </w:r>
      <w:r>
        <w:rPr>
          <w:rFonts w:ascii="Arial" w:eastAsia="宋体" w:hAnsi="Arial" w:cs="Arial" w:hint="eastAsia"/>
          <w:b/>
          <w:bCs/>
          <w:sz w:val="22"/>
          <w:lang w:val="en-GB"/>
        </w:rPr>
        <w:t>USA</w:t>
      </w:r>
      <w:r w:rsidR="00D63D50" w:rsidRPr="00D63D50">
        <w:rPr>
          <w:rFonts w:ascii="Arial" w:eastAsia="宋体" w:hAnsi="Arial" w:cs="Arial"/>
          <w:b/>
          <w:bCs/>
          <w:sz w:val="22"/>
          <w:lang w:val="en-GB"/>
        </w:rPr>
        <w:t xml:space="preserve">, </w:t>
      </w:r>
      <w:r>
        <w:rPr>
          <w:rFonts w:ascii="Arial" w:eastAsia="宋体" w:hAnsi="Arial" w:cs="Arial" w:hint="eastAsia"/>
          <w:b/>
          <w:bCs/>
          <w:sz w:val="22"/>
          <w:lang w:val="en-GB"/>
        </w:rPr>
        <w:t>27</w:t>
      </w:r>
      <w:r w:rsidR="00D63D50" w:rsidRPr="00783B4C">
        <w:rPr>
          <w:rFonts w:ascii="Arial" w:eastAsia="宋体" w:hAnsi="Arial" w:cs="Arial"/>
          <w:b/>
          <w:bCs/>
          <w:sz w:val="22"/>
          <w:vertAlign w:val="superscript"/>
          <w:lang w:val="en-GB"/>
        </w:rPr>
        <w:t>th</w:t>
      </w:r>
      <w:r>
        <w:rPr>
          <w:rFonts w:ascii="Arial" w:eastAsia="宋体" w:hAnsi="Arial" w:cs="Arial" w:hint="eastAsia"/>
          <w:b/>
          <w:bCs/>
          <w:sz w:val="22"/>
          <w:lang w:val="en-GB"/>
        </w:rPr>
        <w:t>, Nov.</w:t>
      </w:r>
      <w:r w:rsidR="00D63D50" w:rsidRPr="00D63D50">
        <w:rPr>
          <w:rFonts w:ascii="Arial" w:eastAsia="宋体" w:hAnsi="Arial" w:cs="Arial"/>
          <w:b/>
          <w:bCs/>
          <w:sz w:val="22"/>
          <w:lang w:val="en-GB"/>
        </w:rPr>
        <w:t xml:space="preserve"> – 1</w:t>
      </w:r>
      <w:r w:rsidRPr="00783B4C">
        <w:rPr>
          <w:rFonts w:ascii="Arial" w:eastAsia="宋体" w:hAnsi="Arial" w:cs="Arial" w:hint="eastAsia"/>
          <w:b/>
          <w:bCs/>
          <w:sz w:val="22"/>
          <w:vertAlign w:val="superscript"/>
          <w:lang w:val="en-GB"/>
        </w:rPr>
        <w:t>st</w:t>
      </w:r>
      <w:r w:rsidR="00D63D50" w:rsidRPr="00D63D50">
        <w:rPr>
          <w:rFonts w:ascii="Arial" w:eastAsia="宋体" w:hAnsi="Arial" w:cs="Arial" w:hint="eastAsia"/>
          <w:b/>
          <w:bCs/>
          <w:sz w:val="22"/>
          <w:lang w:val="en-GB"/>
        </w:rPr>
        <w:t xml:space="preserve">, </w:t>
      </w:r>
      <w:r>
        <w:rPr>
          <w:rFonts w:ascii="Arial" w:eastAsia="宋体" w:hAnsi="Arial" w:cs="Arial" w:hint="eastAsia"/>
          <w:b/>
          <w:bCs/>
          <w:sz w:val="22"/>
          <w:lang w:val="en-GB"/>
        </w:rPr>
        <w:t>Dec.</w:t>
      </w:r>
      <w:r w:rsidR="00D63D50" w:rsidRPr="00D63D50">
        <w:rPr>
          <w:rFonts w:ascii="Arial" w:eastAsia="宋体" w:hAnsi="Arial" w:cs="Arial"/>
          <w:b/>
          <w:bCs/>
          <w:sz w:val="22"/>
          <w:lang w:val="en-GB"/>
        </w:rPr>
        <w:t xml:space="preserve"> 201</w:t>
      </w:r>
      <w:r w:rsidR="00D63D50" w:rsidRPr="00D63D50">
        <w:rPr>
          <w:rFonts w:ascii="Arial" w:eastAsia="宋体" w:hAnsi="Arial" w:cs="Arial" w:hint="eastAsia"/>
          <w:b/>
          <w:bCs/>
          <w:sz w:val="22"/>
          <w:lang w:val="en-GB"/>
        </w:rPr>
        <w:t>7</w:t>
      </w:r>
    </w:p>
    <w:p w:rsidR="00CC4742" w:rsidRPr="003A15B3" w:rsidRDefault="00CC4742" w:rsidP="006F4C14">
      <w:pPr>
        <w:widowControl w:val="0"/>
        <w:tabs>
          <w:tab w:val="left" w:pos="1701"/>
        </w:tabs>
        <w:autoSpaceDE w:val="0"/>
        <w:autoSpaceDN w:val="0"/>
        <w:spacing w:line="240" w:lineRule="auto"/>
        <w:rPr>
          <w:rFonts w:ascii="Arial" w:hAnsi="Arial" w:cs="Arial"/>
          <w:b/>
          <w:bCs/>
          <w:sz w:val="22"/>
          <w:lang w:val="en-GB"/>
        </w:rPr>
      </w:pPr>
    </w:p>
    <w:p w:rsidR="00A569A4" w:rsidRPr="00525CF4" w:rsidRDefault="00A569A4" w:rsidP="001C12F2">
      <w:pPr>
        <w:widowControl w:val="0"/>
        <w:tabs>
          <w:tab w:val="left" w:pos="1701"/>
        </w:tabs>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1C12F2">
        <w:rPr>
          <w:rFonts w:ascii="Arial" w:hAnsi="Arial" w:cs="Arial" w:hint="eastAsia"/>
          <w:b/>
          <w:bCs/>
          <w:sz w:val="22"/>
          <w:lang w:val="en-GB"/>
        </w:rPr>
        <w:t xml:space="preserve">     </w:t>
      </w:r>
      <w:r w:rsidR="001C12F2">
        <w:rPr>
          <w:rFonts w:ascii="Arial" w:hAnsi="Arial" w:cs="Arial"/>
          <w:b/>
          <w:bCs/>
          <w:sz w:val="22"/>
          <w:lang w:val="en-GB"/>
        </w:rPr>
        <w:tab/>
      </w:r>
      <w:r w:rsidRPr="00525CF4">
        <w:rPr>
          <w:rFonts w:ascii="Arial" w:hAnsi="Arial" w:cs="Arial"/>
          <w:b/>
          <w:bCs/>
          <w:sz w:val="22"/>
          <w:lang w:val="en-GB"/>
        </w:rPr>
        <w:t>ZTE</w:t>
      </w:r>
      <w:r w:rsidR="002C40E2">
        <w:rPr>
          <w:rFonts w:ascii="Arial" w:hAnsi="Arial" w:cs="Arial" w:hint="eastAsia"/>
          <w:b/>
          <w:bCs/>
          <w:sz w:val="22"/>
          <w:lang w:val="en-GB"/>
        </w:rPr>
        <w:t>, San</w:t>
      </w:r>
      <w:r w:rsidR="00771886">
        <w:rPr>
          <w:rFonts w:ascii="Arial" w:hAnsi="Arial" w:cs="Arial" w:hint="eastAsia"/>
          <w:b/>
          <w:bCs/>
          <w:sz w:val="22"/>
          <w:lang w:val="en-GB"/>
        </w:rPr>
        <w:t>e</w:t>
      </w:r>
      <w:r w:rsidR="002C40E2">
        <w:rPr>
          <w:rFonts w:ascii="Arial" w:hAnsi="Arial" w:cs="Arial" w:hint="eastAsia"/>
          <w:b/>
          <w:bCs/>
          <w:sz w:val="22"/>
          <w:lang w:val="en-GB"/>
        </w:rPr>
        <w:t>chip</w:t>
      </w:r>
      <w:r w:rsidR="00771886">
        <w:rPr>
          <w:rFonts w:ascii="Arial" w:hAnsi="Arial" w:cs="Arial" w:hint="eastAsia"/>
          <w:b/>
          <w:bCs/>
          <w:sz w:val="22"/>
          <w:lang w:val="en-GB"/>
        </w:rPr>
        <w:t>s</w:t>
      </w:r>
    </w:p>
    <w:p w:rsidR="00A569A4" w:rsidRPr="002C40E2"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1C12F2">
        <w:rPr>
          <w:rFonts w:ascii="Arial" w:hAnsi="Arial" w:cs="Arial"/>
          <w:b/>
          <w:bCs/>
          <w:sz w:val="22"/>
          <w:lang w:val="en-GB"/>
        </w:rPr>
        <w:tab/>
      </w:r>
      <w:r w:rsidR="00EE4AC3" w:rsidRPr="00EE4AC3">
        <w:rPr>
          <w:rFonts w:ascii="Arial" w:hAnsi="Arial" w:cs="Arial"/>
          <w:b/>
          <w:bCs/>
          <w:sz w:val="22"/>
          <w:lang w:val="en-GB"/>
        </w:rPr>
        <w:t xml:space="preserve">Carrier </w:t>
      </w:r>
      <w:r w:rsidR="00EE4AC3">
        <w:rPr>
          <w:rFonts w:ascii="Arial" w:hAnsi="Arial" w:cs="Arial" w:hint="eastAsia"/>
          <w:b/>
          <w:bCs/>
          <w:sz w:val="22"/>
          <w:lang w:val="en-GB"/>
        </w:rPr>
        <w:t>A</w:t>
      </w:r>
      <w:r w:rsidR="00EE4AC3" w:rsidRPr="00EE4AC3">
        <w:rPr>
          <w:rFonts w:ascii="Arial" w:hAnsi="Arial" w:cs="Arial"/>
          <w:b/>
          <w:bCs/>
          <w:sz w:val="22"/>
          <w:lang w:val="en-GB"/>
        </w:rPr>
        <w:t xml:space="preserve">ggregation for CCs with </w:t>
      </w:r>
      <w:r w:rsidR="00EE4AC3">
        <w:rPr>
          <w:rFonts w:ascii="Arial" w:hAnsi="Arial" w:cs="Arial" w:hint="eastAsia"/>
          <w:b/>
          <w:bCs/>
          <w:sz w:val="22"/>
          <w:lang w:val="en-GB"/>
        </w:rPr>
        <w:t>D</w:t>
      </w:r>
      <w:r w:rsidR="00EE4AC3" w:rsidRPr="00EE4AC3">
        <w:rPr>
          <w:rFonts w:ascii="Arial" w:hAnsi="Arial" w:cs="Arial"/>
          <w:b/>
          <w:bCs/>
          <w:sz w:val="22"/>
          <w:lang w:val="en-GB"/>
        </w:rPr>
        <w:t xml:space="preserve">ifferent </w:t>
      </w:r>
      <w:r w:rsidR="00714BBD">
        <w:rPr>
          <w:rFonts w:ascii="Arial" w:hAnsi="Arial" w:cs="Arial" w:hint="eastAsia"/>
          <w:b/>
          <w:bCs/>
          <w:sz w:val="22"/>
          <w:lang w:val="en-GB"/>
        </w:rPr>
        <w:t>N</w:t>
      </w:r>
      <w:r w:rsidR="00714BBD">
        <w:rPr>
          <w:rFonts w:ascii="Arial" w:hAnsi="Arial" w:cs="Arial"/>
          <w:b/>
          <w:bCs/>
          <w:sz w:val="22"/>
          <w:lang w:val="en-GB"/>
        </w:rPr>
        <w:t>umerology</w:t>
      </w:r>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1C12F2" w:rsidRPr="00A934CA">
        <w:rPr>
          <w:rFonts w:ascii="Arial" w:hAnsi="Arial" w:cs="Arial"/>
          <w:b/>
          <w:bCs/>
          <w:sz w:val="22"/>
          <w:lang w:val="en-GB"/>
        </w:rPr>
        <w:tab/>
      </w:r>
      <w:r w:rsidR="00D63D50">
        <w:rPr>
          <w:rFonts w:ascii="Arial" w:hAnsi="Arial" w:cs="Arial" w:hint="eastAsia"/>
          <w:b/>
          <w:bCs/>
          <w:sz w:val="22"/>
          <w:lang w:val="en-GB"/>
        </w:rPr>
        <w:t>7</w:t>
      </w:r>
      <w:r w:rsidR="007B206B">
        <w:rPr>
          <w:rFonts w:ascii="Arial" w:hAnsi="Arial" w:cs="Arial"/>
          <w:b/>
          <w:bCs/>
          <w:sz w:val="22"/>
          <w:lang w:val="en-GB"/>
        </w:rPr>
        <w:t>.</w:t>
      </w:r>
      <w:r w:rsidR="00E43631">
        <w:rPr>
          <w:rFonts w:ascii="Arial" w:hAnsi="Arial" w:cs="Arial" w:hint="eastAsia"/>
          <w:b/>
          <w:bCs/>
          <w:sz w:val="22"/>
          <w:lang w:val="en-GB"/>
        </w:rPr>
        <w:t>3</w:t>
      </w:r>
      <w:r w:rsidR="00EA3256">
        <w:rPr>
          <w:rFonts w:ascii="Arial" w:hAnsi="Arial" w:cs="Arial"/>
          <w:b/>
          <w:bCs/>
          <w:sz w:val="22"/>
          <w:lang w:val="en-GB"/>
        </w:rPr>
        <w:t>.4</w:t>
      </w:r>
      <w:r w:rsidR="00755C03">
        <w:rPr>
          <w:rFonts w:ascii="Arial" w:hAnsi="Arial" w:cs="Arial" w:hint="eastAsia"/>
          <w:b/>
          <w:bCs/>
          <w:sz w:val="22"/>
          <w:lang w:val="en-GB"/>
        </w:rPr>
        <w:t>.</w:t>
      </w:r>
      <w:r w:rsidR="00E43631">
        <w:rPr>
          <w:rFonts w:ascii="Arial" w:hAnsi="Arial" w:cs="Arial" w:hint="eastAsia"/>
          <w:b/>
          <w:bCs/>
          <w:sz w:val="22"/>
          <w:lang w:val="en-GB"/>
        </w:rPr>
        <w:t>2</w:t>
      </w:r>
    </w:p>
    <w:p w:rsidR="00A569A4" w:rsidRPr="00525CF4" w:rsidRDefault="00A569A4" w:rsidP="001C12F2">
      <w:pPr>
        <w:pBdr>
          <w:bottom w:val="single" w:sz="4" w:space="1" w:color="auto"/>
        </w:pBdr>
        <w:tabs>
          <w:tab w:val="left" w:pos="1701"/>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w:t>
      </w:r>
      <w:r w:rsidR="001C12F2">
        <w:rPr>
          <w:rFonts w:ascii="Arial" w:hAnsi="Arial" w:cs="Arial"/>
          <w:b/>
          <w:sz w:val="22"/>
        </w:rPr>
        <w:tab/>
      </w:r>
      <w:r w:rsidR="00B87244">
        <w:rPr>
          <w:rFonts w:ascii="Arial" w:hAnsi="Arial" w:cs="Arial"/>
          <w:b/>
          <w:sz w:val="22"/>
        </w:rPr>
        <w:t>Discussion</w:t>
      </w:r>
      <w:r w:rsidR="00247311">
        <w:rPr>
          <w:rFonts w:ascii="Arial" w:hAnsi="Arial" w:cs="Arial"/>
          <w:b/>
          <w:sz w:val="22"/>
        </w:rPr>
        <w:t xml:space="preserve"> and Decision</w:t>
      </w:r>
    </w:p>
    <w:p w:rsidR="00326B92" w:rsidRDefault="000E3FBD" w:rsidP="002C1BF6">
      <w:pPr>
        <w:pStyle w:val="Heading2"/>
        <w:numPr>
          <w:ilvl w:val="0"/>
          <w:numId w:val="12"/>
        </w:numPr>
        <w:spacing w:before="60" w:after="60"/>
        <w:ind w:hanging="644"/>
      </w:pPr>
      <w:bookmarkStart w:id="2" w:name="OLE_LINK57"/>
      <w:bookmarkStart w:id="3" w:name="OLE_LINK58"/>
      <w:r>
        <w:t>Introduction</w:t>
      </w:r>
      <w:bookmarkEnd w:id="2"/>
      <w:bookmarkEnd w:id="3"/>
    </w:p>
    <w:p w:rsidR="005D2136" w:rsidRDefault="005D2136" w:rsidP="002B6A52">
      <w:pPr>
        <w:spacing w:afterLines="50"/>
        <w:jc w:val="both"/>
        <w:rPr>
          <w:rFonts w:eastAsia="Arial Unicode MS" w:cs="Arial"/>
          <w:kern w:val="2"/>
          <w:szCs w:val="20"/>
        </w:rPr>
      </w:pPr>
      <w:bookmarkStart w:id="4" w:name="OLE_LINK98"/>
      <w:bookmarkStart w:id="5" w:name="OLE_LINK99"/>
      <w:r>
        <w:rPr>
          <w:rFonts w:eastAsia="Arial Unicode MS" w:cs="Arial"/>
          <w:kern w:val="2"/>
          <w:szCs w:val="20"/>
        </w:rPr>
        <w:t>I</w:t>
      </w:r>
      <w:r>
        <w:rPr>
          <w:rFonts w:eastAsia="Arial Unicode MS" w:cs="Arial" w:hint="eastAsia"/>
          <w:kern w:val="2"/>
          <w:szCs w:val="20"/>
        </w:rPr>
        <w:t>n RAN1</w:t>
      </w:r>
      <w:r w:rsidR="004E57CA">
        <w:rPr>
          <w:rFonts w:eastAsia="Arial Unicode MS" w:cs="Arial" w:hint="eastAsia"/>
          <w:kern w:val="2"/>
          <w:szCs w:val="20"/>
        </w:rPr>
        <w:t xml:space="preserve"> #90bis meeting</w:t>
      </w:r>
      <w:r w:rsidR="00CA04E0">
        <w:rPr>
          <w:rFonts w:eastAsia="Arial Unicode MS" w:cs="Arial" w:hint="eastAsia"/>
          <w:kern w:val="2"/>
          <w:szCs w:val="20"/>
        </w:rPr>
        <w:t xml:space="preserve"> </w:t>
      </w:r>
      <w:r w:rsidR="005069EC">
        <w:rPr>
          <w:rFonts w:eastAsia="Arial Unicode MS" w:cs="Arial"/>
          <w:kern w:val="2"/>
          <w:szCs w:val="20"/>
        </w:rPr>
        <w:fldChar w:fldCharType="begin"/>
      </w:r>
      <w:r w:rsidR="00CA04E0">
        <w:rPr>
          <w:rFonts w:eastAsia="Arial Unicode MS" w:cs="Arial"/>
          <w:kern w:val="2"/>
          <w:szCs w:val="20"/>
        </w:rPr>
        <w:instrText xml:space="preserve"> </w:instrText>
      </w:r>
      <w:r w:rsidR="00CA04E0">
        <w:rPr>
          <w:rFonts w:eastAsia="Arial Unicode MS" w:cs="Arial" w:hint="eastAsia"/>
          <w:kern w:val="2"/>
          <w:szCs w:val="20"/>
        </w:rPr>
        <w:instrText>REF _Ref498710673 \n \h</w:instrText>
      </w:r>
      <w:r w:rsidR="00CA04E0">
        <w:rPr>
          <w:rFonts w:eastAsia="Arial Unicode MS" w:cs="Arial"/>
          <w:kern w:val="2"/>
          <w:szCs w:val="20"/>
        </w:rPr>
        <w:instrText xml:space="preserve"> </w:instrText>
      </w:r>
      <w:r w:rsidR="005069EC">
        <w:rPr>
          <w:rFonts w:eastAsia="Arial Unicode MS" w:cs="Arial"/>
          <w:kern w:val="2"/>
          <w:szCs w:val="20"/>
        </w:rPr>
      </w:r>
      <w:r w:rsidR="005069EC">
        <w:rPr>
          <w:rFonts w:eastAsia="Arial Unicode MS" w:cs="Arial"/>
          <w:kern w:val="2"/>
          <w:szCs w:val="20"/>
        </w:rPr>
        <w:fldChar w:fldCharType="separate"/>
      </w:r>
      <w:r w:rsidR="00CA04E0">
        <w:rPr>
          <w:rFonts w:eastAsia="Arial Unicode MS" w:cs="Arial"/>
          <w:kern w:val="2"/>
          <w:szCs w:val="20"/>
        </w:rPr>
        <w:t>[1]</w:t>
      </w:r>
      <w:r w:rsidR="005069EC">
        <w:rPr>
          <w:rFonts w:eastAsia="Arial Unicode MS" w:cs="Arial"/>
          <w:kern w:val="2"/>
          <w:szCs w:val="20"/>
        </w:rPr>
        <w:fldChar w:fldCharType="end"/>
      </w:r>
      <w:r>
        <w:rPr>
          <w:rFonts w:eastAsia="Arial Unicode MS" w:cs="Arial" w:hint="eastAsia"/>
          <w:kern w:val="2"/>
          <w:szCs w:val="20"/>
        </w:rPr>
        <w:t>, many agreements on PUCCH codebook determination have been made, i.e.</w:t>
      </w:r>
    </w:p>
    <w:tbl>
      <w:tblPr>
        <w:tblStyle w:val="TableGrid"/>
        <w:tblW w:w="9072" w:type="dxa"/>
        <w:tblInd w:w="108" w:type="dxa"/>
        <w:tblLook w:val="04A0"/>
      </w:tblPr>
      <w:tblGrid>
        <w:gridCol w:w="9072"/>
      </w:tblGrid>
      <w:tr w:rsidR="004E57CA" w:rsidTr="004E57CA">
        <w:tc>
          <w:tcPr>
            <w:tcW w:w="9072" w:type="dxa"/>
          </w:tcPr>
          <w:p w:rsidR="004E57CA" w:rsidRPr="00111344" w:rsidRDefault="004E57CA" w:rsidP="004E57CA">
            <w:pPr>
              <w:jc w:val="both"/>
              <w:rPr>
                <w:szCs w:val="20"/>
              </w:rPr>
            </w:pPr>
            <w:r w:rsidRPr="00111344">
              <w:rPr>
                <w:szCs w:val="20"/>
                <w:highlight w:val="green"/>
              </w:rPr>
              <w:t>Agreements</w:t>
            </w:r>
            <w:r w:rsidRPr="00111344">
              <w:rPr>
                <w:szCs w:val="20"/>
              </w:rPr>
              <w:t>:</w:t>
            </w:r>
          </w:p>
          <w:p w:rsidR="004E57CA" w:rsidRDefault="004E57CA" w:rsidP="004E57CA">
            <w:pPr>
              <w:numPr>
                <w:ilvl w:val="0"/>
                <w:numId w:val="30"/>
              </w:numPr>
              <w:adjustRightInd/>
              <w:spacing w:line="240" w:lineRule="auto"/>
              <w:ind w:hanging="357"/>
              <w:jc w:val="both"/>
              <w:rPr>
                <w:szCs w:val="20"/>
              </w:rPr>
            </w:pPr>
            <w:r w:rsidRPr="00111344">
              <w:rPr>
                <w:szCs w:val="20"/>
              </w:rPr>
              <w:t>For NR non-CA, both semi-static and dynamic HARQ-ACK codebook are supported by configuration</w:t>
            </w:r>
          </w:p>
          <w:p w:rsidR="004E57CA" w:rsidRPr="00111344" w:rsidRDefault="004E57CA" w:rsidP="004E57CA">
            <w:pPr>
              <w:numPr>
                <w:ilvl w:val="1"/>
                <w:numId w:val="30"/>
              </w:numPr>
              <w:adjustRightInd/>
              <w:spacing w:line="240" w:lineRule="auto"/>
              <w:ind w:hanging="357"/>
              <w:jc w:val="both"/>
              <w:rPr>
                <w:szCs w:val="20"/>
              </w:rPr>
            </w:pPr>
            <w:r>
              <w:rPr>
                <w:szCs w:val="20"/>
              </w:rPr>
              <w:t>Note: the “by-configuration” is also applicable to the CA case</w:t>
            </w:r>
          </w:p>
          <w:p w:rsidR="004E57CA" w:rsidRPr="00F86FE8" w:rsidRDefault="004E57CA" w:rsidP="004E57CA">
            <w:pPr>
              <w:jc w:val="both"/>
              <w:rPr>
                <w:szCs w:val="20"/>
              </w:rPr>
            </w:pPr>
            <w:r w:rsidRPr="00F86FE8">
              <w:rPr>
                <w:szCs w:val="20"/>
                <w:highlight w:val="green"/>
              </w:rPr>
              <w:t>Agreements</w:t>
            </w:r>
            <w:r w:rsidRPr="00F86FE8">
              <w:rPr>
                <w:szCs w:val="20"/>
              </w:rPr>
              <w:t>:</w:t>
            </w:r>
          </w:p>
          <w:p w:rsidR="004E57CA" w:rsidRPr="00F86FE8" w:rsidRDefault="004E57CA" w:rsidP="004E57CA">
            <w:pPr>
              <w:numPr>
                <w:ilvl w:val="0"/>
                <w:numId w:val="31"/>
              </w:numPr>
              <w:adjustRightInd/>
              <w:spacing w:line="240" w:lineRule="auto"/>
              <w:ind w:hanging="357"/>
              <w:jc w:val="both"/>
              <w:rPr>
                <w:szCs w:val="20"/>
              </w:rPr>
            </w:pPr>
            <w:r w:rsidRPr="00F86FE8">
              <w:rPr>
                <w:szCs w:val="20"/>
              </w:rPr>
              <w:t>Dynamic HARQ-ACK codebook (per PUCCH group) for the case without CBG configuration</w:t>
            </w:r>
          </w:p>
          <w:p w:rsidR="004E57CA" w:rsidRPr="00F86FE8" w:rsidRDefault="004E57CA" w:rsidP="004E57CA">
            <w:pPr>
              <w:numPr>
                <w:ilvl w:val="1"/>
                <w:numId w:val="31"/>
              </w:numPr>
              <w:adjustRightInd/>
              <w:spacing w:line="240" w:lineRule="auto"/>
              <w:ind w:hanging="357"/>
              <w:jc w:val="both"/>
              <w:rPr>
                <w:szCs w:val="20"/>
              </w:rPr>
            </w:pPr>
            <w:r w:rsidRPr="00F86FE8">
              <w:rPr>
                <w:szCs w:val="20"/>
              </w:rPr>
              <w:t>HARQ-ACK codebook determination based on counter DAI and total DAI</w:t>
            </w:r>
          </w:p>
          <w:p w:rsidR="004E57CA" w:rsidRPr="00F86FE8" w:rsidRDefault="004E57CA" w:rsidP="004E57CA">
            <w:pPr>
              <w:numPr>
                <w:ilvl w:val="2"/>
                <w:numId w:val="31"/>
              </w:numPr>
              <w:adjustRightInd/>
              <w:spacing w:line="240" w:lineRule="auto"/>
              <w:ind w:hanging="357"/>
              <w:jc w:val="both"/>
              <w:rPr>
                <w:szCs w:val="20"/>
              </w:rPr>
            </w:pPr>
            <w:r w:rsidRPr="00F86FE8">
              <w:rPr>
                <w:szCs w:val="20"/>
              </w:rPr>
              <w:t>Use LTE as starting point</w:t>
            </w:r>
          </w:p>
          <w:p w:rsidR="004E57CA" w:rsidRPr="00421F35" w:rsidRDefault="004E57CA" w:rsidP="004E57CA">
            <w:pPr>
              <w:numPr>
                <w:ilvl w:val="2"/>
                <w:numId w:val="31"/>
              </w:numPr>
              <w:adjustRightInd/>
              <w:spacing w:line="240" w:lineRule="auto"/>
              <w:ind w:hanging="357"/>
              <w:jc w:val="both"/>
              <w:rPr>
                <w:rFonts w:eastAsia="Arial Unicode MS" w:cs="Arial"/>
                <w:kern w:val="2"/>
                <w:szCs w:val="20"/>
              </w:rPr>
            </w:pPr>
            <w:r w:rsidRPr="00F86FE8">
              <w:rPr>
                <w:szCs w:val="20"/>
              </w:rPr>
              <w:t>FFS details</w:t>
            </w:r>
          </w:p>
          <w:p w:rsidR="004E57CA" w:rsidRPr="00112D4B" w:rsidRDefault="004E57CA" w:rsidP="004E57CA">
            <w:pPr>
              <w:jc w:val="both"/>
              <w:rPr>
                <w:szCs w:val="20"/>
              </w:rPr>
            </w:pPr>
            <w:r w:rsidRPr="00112D4B">
              <w:rPr>
                <w:szCs w:val="20"/>
                <w:highlight w:val="green"/>
              </w:rPr>
              <w:t>Agreements</w:t>
            </w:r>
            <w:r w:rsidRPr="00112D4B">
              <w:rPr>
                <w:szCs w:val="20"/>
              </w:rPr>
              <w:t>:</w:t>
            </w:r>
          </w:p>
          <w:p w:rsidR="004E57CA" w:rsidRPr="00112D4B" w:rsidRDefault="004E57CA" w:rsidP="004E57CA">
            <w:pPr>
              <w:numPr>
                <w:ilvl w:val="0"/>
                <w:numId w:val="31"/>
              </w:numPr>
              <w:adjustRightInd/>
              <w:spacing w:line="240" w:lineRule="auto"/>
              <w:ind w:hanging="357"/>
              <w:jc w:val="both"/>
              <w:rPr>
                <w:szCs w:val="20"/>
              </w:rPr>
            </w:pPr>
            <w:r w:rsidRPr="00112D4B">
              <w:rPr>
                <w:szCs w:val="20"/>
              </w:rPr>
              <w:t xml:space="preserve"> ‘Semi-static’ HARQ-ACK codebook (per PUCCH group) is at least determined by </w:t>
            </w:r>
          </w:p>
          <w:p w:rsidR="004E57CA" w:rsidRPr="00112D4B" w:rsidRDefault="004E57CA" w:rsidP="004E57CA">
            <w:pPr>
              <w:numPr>
                <w:ilvl w:val="1"/>
                <w:numId w:val="31"/>
              </w:numPr>
              <w:adjustRightInd/>
              <w:spacing w:line="240" w:lineRule="auto"/>
              <w:ind w:hanging="357"/>
              <w:jc w:val="both"/>
              <w:rPr>
                <w:szCs w:val="20"/>
              </w:rPr>
            </w:pPr>
            <w:r w:rsidRPr="00112D4B">
              <w:rPr>
                <w:szCs w:val="20"/>
              </w:rPr>
              <w:t>Configured number of DL Cells</w:t>
            </w:r>
          </w:p>
          <w:p w:rsidR="004E57CA" w:rsidRPr="00112D4B" w:rsidRDefault="004E57CA" w:rsidP="004E57CA">
            <w:pPr>
              <w:numPr>
                <w:ilvl w:val="1"/>
                <w:numId w:val="31"/>
              </w:numPr>
              <w:adjustRightInd/>
              <w:spacing w:line="240" w:lineRule="auto"/>
              <w:ind w:hanging="357"/>
              <w:jc w:val="both"/>
              <w:rPr>
                <w:szCs w:val="20"/>
              </w:rPr>
            </w:pPr>
            <w:r w:rsidRPr="00112D4B">
              <w:rPr>
                <w:szCs w:val="20"/>
              </w:rPr>
              <w:t>The max number of TBs based on configuration for each DL cell</w:t>
            </w:r>
          </w:p>
          <w:p w:rsidR="004E57CA" w:rsidRPr="00112D4B" w:rsidRDefault="004E57CA" w:rsidP="004E57CA">
            <w:pPr>
              <w:numPr>
                <w:ilvl w:val="1"/>
                <w:numId w:val="31"/>
              </w:numPr>
              <w:adjustRightInd/>
              <w:spacing w:line="240" w:lineRule="auto"/>
              <w:ind w:hanging="357"/>
              <w:jc w:val="both"/>
              <w:rPr>
                <w:szCs w:val="20"/>
              </w:rPr>
            </w:pPr>
            <w:r w:rsidRPr="00112D4B">
              <w:rPr>
                <w:szCs w:val="20"/>
              </w:rPr>
              <w:t>Configured number of CBGs per TB per configured DL cell</w:t>
            </w:r>
          </w:p>
          <w:p w:rsidR="004E57CA" w:rsidRPr="00112D4B" w:rsidRDefault="004E57CA" w:rsidP="004E57CA">
            <w:pPr>
              <w:numPr>
                <w:ilvl w:val="1"/>
                <w:numId w:val="31"/>
              </w:numPr>
              <w:adjustRightInd/>
              <w:spacing w:line="240" w:lineRule="auto"/>
              <w:ind w:hanging="357"/>
              <w:jc w:val="both"/>
              <w:rPr>
                <w:szCs w:val="20"/>
              </w:rPr>
            </w:pPr>
            <w:r w:rsidRPr="00112D4B">
              <w:rPr>
                <w:szCs w:val="20"/>
              </w:rPr>
              <w:t>FFS: Handling of different numerology between UL and DL</w:t>
            </w:r>
          </w:p>
          <w:p w:rsidR="004E57CA" w:rsidRPr="00112D4B" w:rsidRDefault="004E57CA" w:rsidP="004E57CA">
            <w:pPr>
              <w:numPr>
                <w:ilvl w:val="1"/>
                <w:numId w:val="31"/>
              </w:numPr>
              <w:adjustRightInd/>
              <w:spacing w:line="240" w:lineRule="auto"/>
              <w:ind w:hanging="357"/>
              <w:jc w:val="both"/>
              <w:rPr>
                <w:szCs w:val="20"/>
              </w:rPr>
            </w:pPr>
            <w:r w:rsidRPr="00112D4B">
              <w:rPr>
                <w:szCs w:val="20"/>
              </w:rPr>
              <w:t>Details FFS</w:t>
            </w:r>
          </w:p>
          <w:p w:rsidR="004E57CA" w:rsidRPr="00112D4B" w:rsidRDefault="004E57CA" w:rsidP="004E57CA">
            <w:pPr>
              <w:numPr>
                <w:ilvl w:val="0"/>
                <w:numId w:val="31"/>
              </w:numPr>
              <w:overflowPunct w:val="0"/>
              <w:autoSpaceDE w:val="0"/>
              <w:autoSpaceDN w:val="0"/>
              <w:spacing w:line="240" w:lineRule="auto"/>
              <w:ind w:hanging="357"/>
              <w:jc w:val="both"/>
              <w:textAlignment w:val="baseline"/>
              <w:rPr>
                <w:rFonts w:eastAsia="MS Mincho"/>
                <w:szCs w:val="20"/>
              </w:rPr>
            </w:pPr>
            <w:r w:rsidRPr="00112D4B">
              <w:rPr>
                <w:rFonts w:eastAsia="MS Mincho"/>
                <w:szCs w:val="20"/>
              </w:rPr>
              <w:t>Dynamic HARQ-ACK codebook (per PUCCH group) with CBG configuration at least for one serving cell</w:t>
            </w:r>
          </w:p>
          <w:p w:rsidR="004E57CA" w:rsidRPr="004E57CA" w:rsidRDefault="004E57CA" w:rsidP="004E57CA">
            <w:pPr>
              <w:numPr>
                <w:ilvl w:val="1"/>
                <w:numId w:val="31"/>
              </w:numPr>
              <w:overflowPunct w:val="0"/>
              <w:autoSpaceDE w:val="0"/>
              <w:autoSpaceDN w:val="0"/>
              <w:spacing w:line="240" w:lineRule="auto"/>
              <w:ind w:hanging="357"/>
              <w:jc w:val="both"/>
              <w:textAlignment w:val="baseline"/>
              <w:rPr>
                <w:rFonts w:eastAsia="MS Mincho"/>
                <w:szCs w:val="20"/>
              </w:rPr>
            </w:pPr>
            <w:r w:rsidRPr="00112D4B">
              <w:rPr>
                <w:rFonts w:eastAsia="MS Mincho"/>
                <w:szCs w:val="20"/>
              </w:rPr>
              <w:t>Details FFS</w:t>
            </w:r>
          </w:p>
        </w:tc>
      </w:tr>
    </w:tbl>
    <w:p w:rsidR="005D2136" w:rsidRDefault="001F07A9" w:rsidP="002B6A52">
      <w:pPr>
        <w:spacing w:beforeLines="50" w:afterLines="50"/>
        <w:jc w:val="both"/>
        <w:rPr>
          <w:rFonts w:eastAsia="Arial Unicode MS" w:cs="Arial"/>
          <w:kern w:val="2"/>
          <w:szCs w:val="20"/>
        </w:rPr>
      </w:pPr>
      <w:r>
        <w:rPr>
          <w:rFonts w:eastAsia="Arial Unicode MS" w:cs="Arial"/>
          <w:kern w:val="2"/>
          <w:szCs w:val="20"/>
        </w:rPr>
        <w:t>M</w:t>
      </w:r>
      <w:r>
        <w:rPr>
          <w:rFonts w:eastAsia="Arial Unicode MS" w:cs="Arial" w:hint="eastAsia"/>
          <w:kern w:val="2"/>
          <w:szCs w:val="20"/>
        </w:rPr>
        <w:t xml:space="preserve">eanwhile, </w:t>
      </w:r>
      <w:r w:rsidR="005501CB">
        <w:rPr>
          <w:rFonts w:eastAsia="Arial Unicode MS" w:cs="Arial" w:hint="eastAsia"/>
          <w:kern w:val="2"/>
          <w:szCs w:val="20"/>
        </w:rPr>
        <w:t xml:space="preserve">HARQ-ACK </w:t>
      </w:r>
      <w:r>
        <w:rPr>
          <w:rFonts w:eastAsia="Arial Unicode MS" w:cs="Arial" w:hint="eastAsia"/>
          <w:kern w:val="2"/>
          <w:szCs w:val="20"/>
        </w:rPr>
        <w:t>codebook determination</w:t>
      </w:r>
      <w:r w:rsidR="005D2136">
        <w:rPr>
          <w:rFonts w:eastAsia="Arial Unicode MS" w:cs="Arial" w:hint="eastAsia"/>
          <w:kern w:val="2"/>
          <w:szCs w:val="20"/>
        </w:rPr>
        <w:t xml:space="preserve"> in the case of CA especially when more than one numerology are used in one PUCCH group</w:t>
      </w:r>
      <w:r>
        <w:rPr>
          <w:rFonts w:eastAsia="Arial Unicode MS" w:cs="Arial" w:hint="eastAsia"/>
          <w:kern w:val="2"/>
          <w:szCs w:val="20"/>
        </w:rPr>
        <w:t xml:space="preserve"> has been well discussed in </w:t>
      </w:r>
      <w:r w:rsidRPr="001206D7">
        <w:rPr>
          <w:rFonts w:eastAsia="Arial Unicode MS" w:cs="Arial" w:hint="eastAsia"/>
          <w:kern w:val="2"/>
          <w:szCs w:val="20"/>
        </w:rPr>
        <w:t>[</w:t>
      </w:r>
      <w:r w:rsidR="004E57CA" w:rsidRPr="001206D7">
        <w:rPr>
          <w:rFonts w:eastAsia="Arial Unicode MS" w:cs="Arial" w:hint="eastAsia"/>
          <w:kern w:val="2"/>
          <w:szCs w:val="20"/>
        </w:rPr>
        <w:t>2</w:t>
      </w:r>
      <w:r w:rsidRPr="001206D7">
        <w:rPr>
          <w:rFonts w:eastAsia="Arial Unicode MS" w:cs="Arial" w:hint="eastAsia"/>
          <w:kern w:val="2"/>
          <w:szCs w:val="20"/>
        </w:rPr>
        <w:t>][</w:t>
      </w:r>
      <w:r w:rsidR="004E57CA" w:rsidRPr="001206D7">
        <w:rPr>
          <w:rFonts w:eastAsia="Arial Unicode MS" w:cs="Arial" w:hint="eastAsia"/>
          <w:kern w:val="2"/>
          <w:szCs w:val="20"/>
        </w:rPr>
        <w:t>3</w:t>
      </w:r>
      <w:r w:rsidRPr="001206D7">
        <w:rPr>
          <w:rFonts w:eastAsia="Arial Unicode MS" w:cs="Arial" w:hint="eastAsia"/>
          <w:kern w:val="2"/>
          <w:szCs w:val="20"/>
        </w:rPr>
        <w:t>]</w:t>
      </w:r>
      <w:r w:rsidR="004E57CA" w:rsidRPr="001206D7">
        <w:rPr>
          <w:rFonts w:eastAsia="Arial Unicode MS" w:cs="Arial" w:hint="eastAsia"/>
          <w:kern w:val="2"/>
          <w:szCs w:val="20"/>
        </w:rPr>
        <w:t>[4</w:t>
      </w:r>
      <w:r w:rsidRPr="001206D7">
        <w:rPr>
          <w:rFonts w:eastAsia="Arial Unicode MS" w:cs="Arial" w:hint="eastAsia"/>
          <w:kern w:val="2"/>
          <w:szCs w:val="20"/>
        </w:rPr>
        <w:t>][</w:t>
      </w:r>
      <w:r w:rsidR="004E57CA" w:rsidRPr="001206D7">
        <w:rPr>
          <w:rFonts w:eastAsia="Arial Unicode MS" w:cs="Arial" w:hint="eastAsia"/>
          <w:kern w:val="2"/>
          <w:szCs w:val="20"/>
        </w:rPr>
        <w:t>5</w:t>
      </w:r>
      <w:r w:rsidRPr="001206D7">
        <w:rPr>
          <w:rFonts w:eastAsia="Arial Unicode MS" w:cs="Arial" w:hint="eastAsia"/>
          <w:kern w:val="2"/>
          <w:szCs w:val="20"/>
        </w:rPr>
        <w:t>]</w:t>
      </w:r>
      <w:r w:rsidR="005D2136">
        <w:rPr>
          <w:rFonts w:eastAsia="Arial Unicode MS" w:cs="Arial" w:hint="eastAsia"/>
          <w:kern w:val="2"/>
          <w:szCs w:val="20"/>
        </w:rPr>
        <w:t>.</w:t>
      </w:r>
      <w:r w:rsidR="005501CB">
        <w:rPr>
          <w:rFonts w:eastAsia="Arial Unicode MS" w:cs="Arial" w:hint="eastAsia"/>
          <w:kern w:val="2"/>
          <w:szCs w:val="20"/>
        </w:rPr>
        <w:t xml:space="preserve"> Some </w:t>
      </w:r>
      <w:r w:rsidR="005501CB" w:rsidRPr="005501CB">
        <w:rPr>
          <w:rFonts w:eastAsia="Arial Unicode MS" w:cs="Arial"/>
          <w:kern w:val="2"/>
          <w:szCs w:val="20"/>
        </w:rPr>
        <w:t>feasible</w:t>
      </w:r>
      <w:r w:rsidR="005501CB">
        <w:rPr>
          <w:rFonts w:eastAsia="Arial Unicode MS" w:cs="Arial" w:hint="eastAsia"/>
          <w:kern w:val="2"/>
          <w:szCs w:val="20"/>
        </w:rPr>
        <w:t xml:space="preserve"> methods of</w:t>
      </w:r>
      <w:r w:rsidR="005501CB" w:rsidRPr="005501CB">
        <w:rPr>
          <w:rFonts w:eastAsia="Arial Unicode MS" w:cs="Arial" w:hint="eastAsia"/>
          <w:kern w:val="2"/>
          <w:szCs w:val="20"/>
        </w:rPr>
        <w:t xml:space="preserve"> </w:t>
      </w:r>
      <w:r w:rsidR="005501CB">
        <w:rPr>
          <w:rFonts w:eastAsia="Arial Unicode MS" w:cs="Arial" w:hint="eastAsia"/>
          <w:kern w:val="2"/>
          <w:szCs w:val="20"/>
        </w:rPr>
        <w:t>HARQ-ACK codebook determination are raised</w:t>
      </w:r>
      <w:r w:rsidR="002B6A52">
        <w:rPr>
          <w:rFonts w:eastAsia="Arial Unicode MS" w:cs="Arial" w:hint="eastAsia"/>
          <w:kern w:val="2"/>
          <w:szCs w:val="20"/>
        </w:rPr>
        <w:t xml:space="preserve"> including:</w:t>
      </w:r>
      <w:r w:rsidR="005501CB">
        <w:rPr>
          <w:rFonts w:eastAsia="Arial Unicode MS" w:cs="Arial" w:hint="eastAsia"/>
          <w:kern w:val="2"/>
          <w:szCs w:val="20"/>
        </w:rPr>
        <w:t xml:space="preserve"> semi-</w:t>
      </w:r>
      <w:r w:rsidR="005501CB" w:rsidRPr="005501CB">
        <w:rPr>
          <w:rFonts w:eastAsia="Arial Unicode MS" w:cs="Arial" w:hint="eastAsia"/>
          <w:kern w:val="2"/>
          <w:szCs w:val="20"/>
        </w:rPr>
        <w:t>static HARQ-ACK codebook</w:t>
      </w:r>
      <w:r w:rsidR="005501CB">
        <w:rPr>
          <w:rFonts w:eastAsia="Arial Unicode MS" w:cs="Arial" w:hint="eastAsia"/>
          <w:kern w:val="2"/>
          <w:szCs w:val="20"/>
        </w:rPr>
        <w:t xml:space="preserve">, CCs grouping based </w:t>
      </w:r>
      <w:r w:rsidR="005501CB" w:rsidRPr="005501CB">
        <w:rPr>
          <w:rFonts w:hint="eastAsia"/>
        </w:rPr>
        <w:t>dynamic</w:t>
      </w:r>
      <w:r w:rsidR="005501CB" w:rsidRPr="00986879">
        <w:rPr>
          <w:rFonts w:hint="eastAsia"/>
          <w:b/>
        </w:rPr>
        <w:t xml:space="preserve"> </w:t>
      </w:r>
      <w:r w:rsidR="005501CB" w:rsidRPr="005501CB">
        <w:rPr>
          <w:rFonts w:eastAsia="Arial Unicode MS" w:cs="Arial" w:hint="eastAsia"/>
          <w:kern w:val="2"/>
          <w:szCs w:val="20"/>
        </w:rPr>
        <w:t>HARQ-ACK codebook</w:t>
      </w:r>
      <w:r w:rsidR="005501CB">
        <w:rPr>
          <w:rFonts w:eastAsia="Arial Unicode MS" w:cs="Arial" w:hint="eastAsia"/>
          <w:kern w:val="2"/>
          <w:szCs w:val="20"/>
        </w:rPr>
        <w:t>, or across different TTI length CCs</w:t>
      </w:r>
      <w:r w:rsidR="005501CB" w:rsidRPr="005501CB">
        <w:rPr>
          <w:rFonts w:eastAsia="Arial Unicode MS" w:cs="Arial" w:hint="eastAsia"/>
          <w:kern w:val="2"/>
          <w:szCs w:val="20"/>
        </w:rPr>
        <w:t xml:space="preserve"> </w:t>
      </w:r>
      <w:r w:rsidR="005501CB">
        <w:rPr>
          <w:rFonts w:eastAsia="Arial Unicode MS" w:cs="Arial" w:hint="eastAsia"/>
          <w:kern w:val="2"/>
          <w:szCs w:val="20"/>
        </w:rPr>
        <w:t>DAI</w:t>
      </w:r>
      <w:r w:rsidR="005501CB" w:rsidRPr="005501CB">
        <w:rPr>
          <w:rFonts w:eastAsia="Arial Unicode MS" w:cs="Arial" w:hint="eastAsia"/>
          <w:kern w:val="2"/>
          <w:szCs w:val="20"/>
        </w:rPr>
        <w:t xml:space="preserve"> </w:t>
      </w:r>
      <w:r w:rsidR="005501CB">
        <w:rPr>
          <w:rFonts w:eastAsia="Arial Unicode MS" w:cs="Arial" w:hint="eastAsia"/>
          <w:kern w:val="2"/>
          <w:szCs w:val="20"/>
        </w:rPr>
        <w:t xml:space="preserve">based </w:t>
      </w:r>
      <w:r w:rsidR="005501CB" w:rsidRPr="005501CB">
        <w:rPr>
          <w:rFonts w:hint="eastAsia"/>
        </w:rPr>
        <w:t>dynamic</w:t>
      </w:r>
      <w:r w:rsidR="005501CB" w:rsidRPr="00986879">
        <w:rPr>
          <w:rFonts w:hint="eastAsia"/>
          <w:b/>
        </w:rPr>
        <w:t xml:space="preserve"> </w:t>
      </w:r>
      <w:r w:rsidR="005501CB" w:rsidRPr="005501CB">
        <w:rPr>
          <w:rFonts w:eastAsia="Arial Unicode MS" w:cs="Arial" w:hint="eastAsia"/>
          <w:kern w:val="2"/>
          <w:szCs w:val="20"/>
        </w:rPr>
        <w:t>HARQ-ACK codebook</w:t>
      </w:r>
      <w:r w:rsidR="005501CB">
        <w:rPr>
          <w:rFonts w:eastAsia="Arial Unicode MS" w:cs="Arial" w:hint="eastAsia"/>
          <w:kern w:val="2"/>
          <w:szCs w:val="20"/>
        </w:rPr>
        <w:t>, etc. Some further discussion from our views will be given in section</w:t>
      </w:r>
      <w:r w:rsidR="005B7324">
        <w:rPr>
          <w:rFonts w:eastAsia="Arial Unicode MS" w:cs="Arial" w:hint="eastAsia"/>
          <w:kern w:val="2"/>
          <w:szCs w:val="20"/>
        </w:rPr>
        <w:t xml:space="preserve"> 3</w:t>
      </w:r>
      <w:r w:rsidR="005501CB">
        <w:rPr>
          <w:rFonts w:eastAsia="Arial Unicode MS" w:cs="Arial" w:hint="eastAsia"/>
          <w:kern w:val="2"/>
          <w:szCs w:val="20"/>
        </w:rPr>
        <w:t>.</w:t>
      </w:r>
      <w:r w:rsidR="005D2136">
        <w:rPr>
          <w:rFonts w:eastAsia="Arial Unicode MS" w:cs="Arial" w:hint="eastAsia"/>
          <w:kern w:val="2"/>
          <w:szCs w:val="20"/>
        </w:rPr>
        <w:t xml:space="preserve"> </w:t>
      </w:r>
      <w:r>
        <w:rPr>
          <w:rFonts w:eastAsia="Arial Unicode MS" w:cs="Arial" w:hint="eastAsia"/>
          <w:kern w:val="2"/>
          <w:szCs w:val="20"/>
        </w:rPr>
        <w:t>In RAN</w:t>
      </w:r>
      <w:r w:rsidR="009F3BC6">
        <w:rPr>
          <w:rFonts w:eastAsia="Arial Unicode MS" w:cs="Arial" w:hint="eastAsia"/>
          <w:kern w:val="2"/>
          <w:szCs w:val="20"/>
        </w:rPr>
        <w:t xml:space="preserve"> #77 </w:t>
      </w:r>
      <w:r>
        <w:rPr>
          <w:rFonts w:eastAsia="Arial Unicode MS" w:cs="Arial" w:hint="eastAsia"/>
          <w:kern w:val="2"/>
          <w:szCs w:val="20"/>
        </w:rPr>
        <w:t>meeting, NR scope was disc</w:t>
      </w:r>
      <w:r w:rsidR="005D2136">
        <w:rPr>
          <w:rFonts w:eastAsia="Arial Unicode MS" w:cs="Arial" w:hint="eastAsia"/>
          <w:kern w:val="2"/>
          <w:szCs w:val="20"/>
        </w:rPr>
        <w:t xml:space="preserve">ussed and it was agreed </w:t>
      </w:r>
      <w:r w:rsidR="00C412E9">
        <w:rPr>
          <w:rFonts w:eastAsia="Arial Unicode MS" w:cs="Arial" w:hint="eastAsia"/>
          <w:kern w:val="2"/>
          <w:szCs w:val="20"/>
        </w:rPr>
        <w:t xml:space="preserve">in </w:t>
      </w:r>
      <w:r w:rsidR="005069EC">
        <w:rPr>
          <w:rFonts w:eastAsia="Arial Unicode MS" w:cs="Arial"/>
          <w:kern w:val="2"/>
          <w:szCs w:val="20"/>
        </w:rPr>
        <w:fldChar w:fldCharType="begin"/>
      </w:r>
      <w:r w:rsidR="00764CBB">
        <w:rPr>
          <w:rFonts w:eastAsia="Arial Unicode MS" w:cs="Arial"/>
          <w:kern w:val="2"/>
          <w:szCs w:val="20"/>
        </w:rPr>
        <w:instrText xml:space="preserve"> </w:instrText>
      </w:r>
      <w:r w:rsidR="00764CBB">
        <w:rPr>
          <w:rFonts w:eastAsia="Arial Unicode MS" w:cs="Arial" w:hint="eastAsia"/>
          <w:kern w:val="2"/>
          <w:szCs w:val="20"/>
        </w:rPr>
        <w:instrText>REF _Ref498710561 \n \h</w:instrText>
      </w:r>
      <w:r w:rsidR="00764CBB">
        <w:rPr>
          <w:rFonts w:eastAsia="Arial Unicode MS" w:cs="Arial"/>
          <w:kern w:val="2"/>
          <w:szCs w:val="20"/>
        </w:rPr>
        <w:instrText xml:space="preserve"> </w:instrText>
      </w:r>
      <w:r w:rsidR="005069EC">
        <w:rPr>
          <w:rFonts w:eastAsia="Arial Unicode MS" w:cs="Arial"/>
          <w:kern w:val="2"/>
          <w:szCs w:val="20"/>
        </w:rPr>
      </w:r>
      <w:r w:rsidR="005069EC">
        <w:rPr>
          <w:rFonts w:eastAsia="Arial Unicode MS" w:cs="Arial"/>
          <w:kern w:val="2"/>
          <w:szCs w:val="20"/>
        </w:rPr>
        <w:fldChar w:fldCharType="separate"/>
      </w:r>
      <w:r w:rsidR="00764CBB">
        <w:rPr>
          <w:rFonts w:eastAsia="Arial Unicode MS" w:cs="Arial"/>
          <w:kern w:val="2"/>
          <w:szCs w:val="20"/>
        </w:rPr>
        <w:t>[6]</w:t>
      </w:r>
      <w:r w:rsidR="005069EC">
        <w:rPr>
          <w:rFonts w:eastAsia="Arial Unicode MS" w:cs="Arial"/>
          <w:kern w:val="2"/>
          <w:szCs w:val="20"/>
        </w:rPr>
        <w:fldChar w:fldCharType="end"/>
      </w:r>
      <w:r w:rsidR="005D2136">
        <w:rPr>
          <w:rFonts w:eastAsia="Arial Unicode MS" w:cs="Arial" w:hint="eastAsia"/>
          <w:kern w:val="2"/>
          <w:szCs w:val="20"/>
        </w:rPr>
        <w:t xml:space="preserve"> that</w:t>
      </w:r>
      <w:r w:rsidR="000636B8">
        <w:rPr>
          <w:rFonts w:eastAsia="Arial Unicode MS" w:cs="Arial" w:hint="eastAsia"/>
          <w:kern w:val="2"/>
          <w:szCs w:val="20"/>
        </w:rPr>
        <w:t xml:space="preserve"> RAN1 aims to complete the feature of the s</w:t>
      </w:r>
      <w:r w:rsidR="000636B8" w:rsidRPr="0017289B">
        <w:rPr>
          <w:rFonts w:eastAsia="MS Mincho" w:hint="eastAsia"/>
          <w:szCs w:val="20"/>
          <w:lang w:eastAsia="ja-JP"/>
        </w:rPr>
        <w:t xml:space="preserve">ame </w:t>
      </w:r>
      <w:r w:rsidR="000636B8" w:rsidRPr="0017289B">
        <w:rPr>
          <w:rFonts w:eastAsia="MS Mincho"/>
          <w:szCs w:val="20"/>
          <w:lang w:eastAsia="ja-JP"/>
        </w:rPr>
        <w:t>numerology</w:t>
      </w:r>
      <w:r w:rsidR="000636B8" w:rsidRPr="0017289B">
        <w:rPr>
          <w:rFonts w:eastAsia="MS Mincho" w:hint="eastAsia"/>
          <w:szCs w:val="20"/>
          <w:lang w:eastAsia="ja-JP"/>
        </w:rPr>
        <w:t xml:space="preserve"> within the same PUCCH group</w:t>
      </w:r>
      <w:r w:rsidR="000636B8" w:rsidRPr="000636B8">
        <w:rPr>
          <w:rFonts w:eastAsia="MS Mincho" w:hint="eastAsia"/>
          <w:szCs w:val="20"/>
          <w:lang w:eastAsia="ja-JP"/>
        </w:rPr>
        <w:t xml:space="preserve"> (</w:t>
      </w:r>
      <w:r w:rsidR="000636B8" w:rsidRPr="0017289B">
        <w:rPr>
          <w:rFonts w:eastAsia="MS Mincho"/>
          <w:szCs w:val="20"/>
          <w:lang w:eastAsia="ja-JP"/>
        </w:rPr>
        <w:t>including both DL and UL</w:t>
      </w:r>
      <w:r w:rsidR="000636B8" w:rsidRPr="000636B8">
        <w:rPr>
          <w:rFonts w:eastAsia="MS Mincho" w:hint="eastAsia"/>
          <w:szCs w:val="20"/>
          <w:lang w:eastAsia="ja-JP"/>
        </w:rPr>
        <w:t xml:space="preserve">) by </w:t>
      </w:r>
      <w:r w:rsidR="000636B8" w:rsidRPr="000636B8">
        <w:rPr>
          <w:rFonts w:eastAsia="MS Mincho"/>
          <w:szCs w:val="20"/>
          <w:lang w:eastAsia="ja-JP"/>
        </w:rPr>
        <w:t>December 2017</w:t>
      </w:r>
      <w:r w:rsidR="005D2136" w:rsidRPr="000636B8">
        <w:rPr>
          <w:rFonts w:eastAsia="MS Mincho" w:hint="eastAsia"/>
          <w:szCs w:val="20"/>
          <w:lang w:eastAsia="ja-JP"/>
        </w:rPr>
        <w:t xml:space="preserve">, which means that </w:t>
      </w:r>
      <w:r w:rsidR="001A18EC" w:rsidRPr="003417A5">
        <w:rPr>
          <w:rFonts w:eastAsia="MS Mincho" w:hint="eastAsia"/>
          <w:i/>
          <w:szCs w:val="20"/>
          <w:lang w:eastAsia="ja-JP"/>
        </w:rPr>
        <w:t>AT LEAST</w:t>
      </w:r>
      <w:r w:rsidR="001A18EC" w:rsidRPr="000636B8">
        <w:rPr>
          <w:rFonts w:eastAsia="MS Mincho" w:hint="eastAsia"/>
          <w:szCs w:val="20"/>
          <w:lang w:eastAsia="ja-JP"/>
        </w:rPr>
        <w:t xml:space="preserve"> the same</w:t>
      </w:r>
      <w:r w:rsidR="001A18EC">
        <w:rPr>
          <w:rFonts w:eastAsia="Arial Unicode MS" w:cs="Arial" w:hint="eastAsia"/>
          <w:kern w:val="2"/>
          <w:szCs w:val="20"/>
        </w:rPr>
        <w:t xml:space="preserve"> numerology </w:t>
      </w:r>
      <w:r w:rsidR="00C412E9">
        <w:rPr>
          <w:rFonts w:eastAsia="Arial Unicode MS" w:cs="Arial" w:hint="eastAsia"/>
          <w:kern w:val="2"/>
          <w:szCs w:val="20"/>
        </w:rPr>
        <w:t xml:space="preserve">in one PUCH group should be </w:t>
      </w:r>
      <w:r w:rsidR="000636B8">
        <w:rPr>
          <w:rFonts w:eastAsia="Arial Unicode MS" w:cs="Arial" w:hint="eastAsia"/>
          <w:kern w:val="2"/>
          <w:szCs w:val="20"/>
        </w:rPr>
        <w:t xml:space="preserve">supported </w:t>
      </w:r>
      <w:r w:rsidR="009551C0">
        <w:rPr>
          <w:rFonts w:eastAsia="Arial Unicode MS" w:cs="Arial" w:hint="eastAsia"/>
          <w:kern w:val="2"/>
          <w:szCs w:val="20"/>
        </w:rPr>
        <w:t>by NR release 15</w:t>
      </w:r>
      <w:r w:rsidR="001A18EC">
        <w:rPr>
          <w:rFonts w:eastAsia="Arial Unicode MS" w:cs="Arial" w:hint="eastAsia"/>
          <w:kern w:val="2"/>
          <w:szCs w:val="20"/>
        </w:rPr>
        <w:t>.</w:t>
      </w:r>
    </w:p>
    <w:p w:rsidR="005069EC" w:rsidRDefault="001F07A9" w:rsidP="002B6A52">
      <w:pPr>
        <w:spacing w:afterLines="50"/>
        <w:jc w:val="both"/>
        <w:rPr>
          <w:rFonts w:eastAsia="Arial Unicode MS" w:cs="Arial"/>
          <w:kern w:val="2"/>
          <w:szCs w:val="20"/>
        </w:rPr>
      </w:pPr>
      <w:r>
        <w:rPr>
          <w:rFonts w:eastAsia="Arial Unicode MS" w:cs="Arial"/>
          <w:kern w:val="2"/>
          <w:szCs w:val="20"/>
        </w:rPr>
        <w:t>I</w:t>
      </w:r>
      <w:r>
        <w:rPr>
          <w:rFonts w:eastAsia="Arial Unicode MS" w:cs="Arial" w:hint="eastAsia"/>
          <w:kern w:val="2"/>
          <w:szCs w:val="20"/>
        </w:rPr>
        <w:t xml:space="preserve">n </w:t>
      </w:r>
      <w:r>
        <w:rPr>
          <w:rFonts w:eastAsia="Arial Unicode MS" w:cs="Arial"/>
          <w:kern w:val="2"/>
          <w:szCs w:val="20"/>
        </w:rPr>
        <w:t>this</w:t>
      </w:r>
      <w:r>
        <w:rPr>
          <w:rFonts w:eastAsia="Arial Unicode MS" w:cs="Arial" w:hint="eastAsia"/>
          <w:kern w:val="2"/>
          <w:szCs w:val="20"/>
        </w:rPr>
        <w:t xml:space="preserve"> contribution, we will discuss the </w:t>
      </w:r>
      <w:r w:rsidR="005D2136">
        <w:rPr>
          <w:rFonts w:eastAsia="Arial Unicode MS" w:cs="Arial" w:hint="eastAsia"/>
          <w:kern w:val="2"/>
          <w:szCs w:val="20"/>
        </w:rPr>
        <w:t xml:space="preserve">motivation and necessity of supporting different numerologies in one PUCCH group. </w:t>
      </w:r>
      <w:r w:rsidR="005D2136">
        <w:rPr>
          <w:rFonts w:eastAsia="Arial Unicode MS" w:cs="Arial"/>
          <w:kern w:val="2"/>
          <w:szCs w:val="20"/>
        </w:rPr>
        <w:t>I</w:t>
      </w:r>
      <w:r w:rsidR="005D2136">
        <w:rPr>
          <w:rFonts w:eastAsia="Arial Unicode MS" w:cs="Arial" w:hint="eastAsia"/>
          <w:kern w:val="2"/>
          <w:szCs w:val="20"/>
        </w:rPr>
        <w:t xml:space="preserve">t is proposed that RAN1 should </w:t>
      </w:r>
      <w:r w:rsidR="0068333B">
        <w:rPr>
          <w:rFonts w:eastAsia="Arial Unicode MS" w:cs="Arial" w:hint="eastAsia"/>
          <w:kern w:val="2"/>
          <w:szCs w:val="20"/>
        </w:rPr>
        <w:t xml:space="preserve">complete </w:t>
      </w:r>
      <w:r w:rsidR="00F94B71">
        <w:rPr>
          <w:rFonts w:eastAsia="Arial Unicode MS" w:cs="Arial" w:hint="eastAsia"/>
          <w:kern w:val="2"/>
          <w:szCs w:val="20"/>
        </w:rPr>
        <w:t>MORE THAN</w:t>
      </w:r>
      <w:r w:rsidR="005D2136">
        <w:rPr>
          <w:rFonts w:eastAsia="Arial Unicode MS" w:cs="Arial" w:hint="eastAsia"/>
          <w:kern w:val="2"/>
          <w:szCs w:val="20"/>
        </w:rPr>
        <w:t xml:space="preserve"> </w:t>
      </w:r>
      <w:r w:rsidR="0068333B">
        <w:rPr>
          <w:rFonts w:eastAsia="Arial Unicode MS" w:cs="Arial" w:hint="eastAsia"/>
          <w:kern w:val="2"/>
          <w:szCs w:val="20"/>
        </w:rPr>
        <w:t>what has been defined in</w:t>
      </w:r>
      <w:r w:rsidR="00C412E9">
        <w:rPr>
          <w:rFonts w:eastAsia="Arial Unicode MS" w:cs="Arial" w:hint="eastAsia"/>
          <w:kern w:val="2"/>
          <w:szCs w:val="20"/>
        </w:rPr>
        <w:t xml:space="preserve"> RAN </w:t>
      </w:r>
      <w:r w:rsidR="00C412E9">
        <w:rPr>
          <w:rFonts w:eastAsia="Arial Unicode MS" w:cs="Arial" w:hint="eastAsia"/>
          <w:kern w:val="2"/>
          <w:szCs w:val="20"/>
        </w:rPr>
        <w:lastRenderedPageBreak/>
        <w:t xml:space="preserve">plenary meeting, i.e. </w:t>
      </w:r>
      <w:r w:rsidR="00C412E9">
        <w:rPr>
          <w:rFonts w:eastAsia="Arial Unicode MS" w:cs="Arial"/>
          <w:kern w:val="2"/>
          <w:szCs w:val="20"/>
        </w:rPr>
        <w:t>supporting</w:t>
      </w:r>
      <w:r w:rsidR="00C412E9">
        <w:rPr>
          <w:rFonts w:eastAsia="Arial Unicode MS" w:cs="Arial" w:hint="eastAsia"/>
          <w:kern w:val="2"/>
          <w:szCs w:val="20"/>
        </w:rPr>
        <w:t xml:space="preserve"> different </w:t>
      </w:r>
      <w:r w:rsidR="00C412E9">
        <w:rPr>
          <w:rFonts w:eastAsia="Arial Unicode MS" w:cs="Arial"/>
          <w:kern w:val="2"/>
          <w:szCs w:val="20"/>
        </w:rPr>
        <w:t>numerolog</w:t>
      </w:r>
      <w:r w:rsidR="00C412E9">
        <w:rPr>
          <w:rFonts w:eastAsia="Arial Unicode MS" w:cs="Arial" w:hint="eastAsia"/>
          <w:kern w:val="2"/>
          <w:szCs w:val="20"/>
        </w:rPr>
        <w:t xml:space="preserve">ies in one PUCCH group. </w:t>
      </w:r>
      <w:r w:rsidR="00C412E9">
        <w:rPr>
          <w:rFonts w:eastAsia="Arial Unicode MS" w:cs="Arial"/>
          <w:kern w:val="2"/>
          <w:szCs w:val="20"/>
        </w:rPr>
        <w:t>F</w:t>
      </w:r>
      <w:r w:rsidR="00C412E9">
        <w:rPr>
          <w:rFonts w:eastAsia="Arial Unicode MS" w:cs="Arial" w:hint="eastAsia"/>
          <w:kern w:val="2"/>
          <w:szCs w:val="20"/>
        </w:rPr>
        <w:t xml:space="preserve">urthermore, we </w:t>
      </w:r>
      <w:r w:rsidR="00D525D9">
        <w:rPr>
          <w:rFonts w:eastAsia="Arial Unicode MS" w:cs="Arial" w:hint="eastAsia"/>
          <w:kern w:val="2"/>
          <w:szCs w:val="20"/>
        </w:rPr>
        <w:t xml:space="preserve">will </w:t>
      </w:r>
      <w:r w:rsidR="00C412E9">
        <w:rPr>
          <w:rFonts w:eastAsia="Arial Unicode MS" w:cs="Arial" w:hint="eastAsia"/>
          <w:kern w:val="2"/>
          <w:szCs w:val="20"/>
        </w:rPr>
        <w:t>also discuss</w:t>
      </w:r>
      <w:r w:rsidR="00D525D9">
        <w:rPr>
          <w:rFonts w:eastAsia="Arial Unicode MS" w:cs="Arial" w:hint="eastAsia"/>
          <w:kern w:val="2"/>
          <w:szCs w:val="20"/>
        </w:rPr>
        <w:t xml:space="preserve"> and propose </w:t>
      </w:r>
      <w:r w:rsidR="00C412E9">
        <w:rPr>
          <w:rFonts w:eastAsia="Arial Unicode MS" w:cs="Arial" w:hint="eastAsia"/>
          <w:kern w:val="2"/>
          <w:szCs w:val="20"/>
        </w:rPr>
        <w:t xml:space="preserve">the solutions to </w:t>
      </w:r>
      <w:r w:rsidR="00D525D9">
        <w:rPr>
          <w:rFonts w:eastAsia="Arial Unicode MS" w:cs="Arial" w:hint="eastAsia"/>
          <w:kern w:val="2"/>
          <w:szCs w:val="20"/>
        </w:rPr>
        <w:t>the problems related to multiple numerologies in one PUCCH group.</w:t>
      </w:r>
    </w:p>
    <w:p w:rsidR="00153A0B" w:rsidRPr="00153A0B" w:rsidRDefault="00202467" w:rsidP="00153A0B">
      <w:pPr>
        <w:pStyle w:val="Heading2"/>
        <w:numPr>
          <w:ilvl w:val="0"/>
          <w:numId w:val="12"/>
        </w:numPr>
        <w:spacing w:before="60" w:after="60"/>
        <w:ind w:hanging="644"/>
      </w:pPr>
      <w:bookmarkStart w:id="6" w:name="OLE_LINK71"/>
      <w:bookmarkStart w:id="7" w:name="OLE_LINK72"/>
      <w:bookmarkEnd w:id="4"/>
      <w:bookmarkEnd w:id="5"/>
      <w:r>
        <w:rPr>
          <w:rFonts w:hint="eastAsia"/>
          <w:lang w:eastAsia="zh-CN"/>
        </w:rPr>
        <w:t xml:space="preserve">Necessity of different </w:t>
      </w:r>
      <w:r>
        <w:rPr>
          <w:lang w:eastAsia="zh-CN"/>
        </w:rPr>
        <w:t>numerology</w:t>
      </w:r>
      <w:r>
        <w:rPr>
          <w:rFonts w:hint="eastAsia"/>
          <w:lang w:eastAsia="zh-CN"/>
        </w:rPr>
        <w:t xml:space="preserve"> in one PUCCH group </w:t>
      </w:r>
    </w:p>
    <w:bookmarkEnd w:id="6"/>
    <w:bookmarkEnd w:id="7"/>
    <w:p w:rsidR="0037521A" w:rsidRDefault="00491AF4" w:rsidP="002B6A52">
      <w:pPr>
        <w:spacing w:afterLines="50"/>
        <w:jc w:val="both"/>
        <w:rPr>
          <w:rFonts w:eastAsia="Arial Unicode MS" w:cs="Arial"/>
          <w:kern w:val="2"/>
          <w:szCs w:val="20"/>
        </w:rPr>
      </w:pPr>
      <w:r>
        <w:rPr>
          <w:rFonts w:eastAsia="Arial Unicode MS" w:cs="Arial"/>
          <w:kern w:val="2"/>
          <w:szCs w:val="20"/>
        </w:rPr>
        <w:t>I</w:t>
      </w:r>
      <w:r>
        <w:rPr>
          <w:rFonts w:eastAsia="Arial Unicode MS" w:cs="Arial" w:hint="eastAsia"/>
          <w:kern w:val="2"/>
          <w:szCs w:val="20"/>
        </w:rPr>
        <w:t xml:space="preserve">t </w:t>
      </w:r>
      <w:r w:rsidR="008C68F8">
        <w:rPr>
          <w:rFonts w:eastAsia="Arial Unicode MS" w:cs="Arial" w:hint="eastAsia"/>
          <w:kern w:val="2"/>
          <w:szCs w:val="20"/>
        </w:rPr>
        <w:t>has been agreed that</w:t>
      </w:r>
      <w:r w:rsidR="001D5B00">
        <w:rPr>
          <w:rFonts w:eastAsia="Arial Unicode MS" w:cs="Arial" w:hint="eastAsia"/>
          <w:kern w:val="2"/>
          <w:szCs w:val="20"/>
        </w:rPr>
        <w:t xml:space="preserve"> </w:t>
      </w:r>
      <w:r w:rsidR="0037521A">
        <w:rPr>
          <w:rFonts w:eastAsia="Arial Unicode MS" w:cs="Arial" w:hint="eastAsia"/>
          <w:kern w:val="2"/>
          <w:szCs w:val="20"/>
        </w:rPr>
        <w:t xml:space="preserve">the number of DL carrier is 2 in the case of inter-band CA and </w:t>
      </w:r>
      <w:r w:rsidR="001D5B00">
        <w:rPr>
          <w:rFonts w:eastAsia="Arial Unicode MS" w:cs="Arial" w:hint="eastAsia"/>
          <w:kern w:val="2"/>
          <w:szCs w:val="20"/>
        </w:rPr>
        <w:t>UL CA is not supported in NR release 15</w:t>
      </w:r>
      <w:r w:rsidR="00CE7205">
        <w:rPr>
          <w:rFonts w:eastAsia="Arial Unicode MS" w:cs="Arial" w:hint="eastAsia"/>
          <w:kern w:val="2"/>
          <w:szCs w:val="20"/>
        </w:rPr>
        <w:t xml:space="preserve"> for both intra-band and inter-band CA</w:t>
      </w:r>
      <w:r w:rsidR="00764CBB">
        <w:rPr>
          <w:rFonts w:eastAsia="Arial Unicode MS" w:cs="Arial" w:hint="eastAsia"/>
          <w:kern w:val="2"/>
          <w:szCs w:val="20"/>
        </w:rPr>
        <w:t xml:space="preserve"> </w:t>
      </w:r>
      <w:r w:rsidR="005069EC">
        <w:rPr>
          <w:rFonts w:eastAsia="Arial Unicode MS" w:cs="Arial"/>
          <w:kern w:val="2"/>
          <w:szCs w:val="20"/>
        </w:rPr>
        <w:fldChar w:fldCharType="begin"/>
      </w:r>
      <w:r w:rsidR="00764CBB">
        <w:rPr>
          <w:rFonts w:eastAsia="Arial Unicode MS" w:cs="Arial"/>
          <w:kern w:val="2"/>
          <w:szCs w:val="20"/>
        </w:rPr>
        <w:instrText xml:space="preserve"> </w:instrText>
      </w:r>
      <w:r w:rsidR="00764CBB">
        <w:rPr>
          <w:rFonts w:eastAsia="Arial Unicode MS" w:cs="Arial" w:hint="eastAsia"/>
          <w:kern w:val="2"/>
          <w:szCs w:val="20"/>
        </w:rPr>
        <w:instrText>REF _Ref498623146 \n \h</w:instrText>
      </w:r>
      <w:r w:rsidR="00764CBB">
        <w:rPr>
          <w:rFonts w:eastAsia="Arial Unicode MS" w:cs="Arial"/>
          <w:kern w:val="2"/>
          <w:szCs w:val="20"/>
        </w:rPr>
        <w:instrText xml:space="preserve"> </w:instrText>
      </w:r>
      <w:r w:rsidR="005069EC">
        <w:rPr>
          <w:rFonts w:eastAsia="Arial Unicode MS" w:cs="Arial"/>
          <w:kern w:val="2"/>
          <w:szCs w:val="20"/>
        </w:rPr>
      </w:r>
      <w:r w:rsidR="005069EC">
        <w:rPr>
          <w:rFonts w:eastAsia="Arial Unicode MS" w:cs="Arial"/>
          <w:kern w:val="2"/>
          <w:szCs w:val="20"/>
        </w:rPr>
        <w:fldChar w:fldCharType="separate"/>
      </w:r>
      <w:r w:rsidR="00764CBB">
        <w:rPr>
          <w:rFonts w:eastAsia="Arial Unicode MS" w:cs="Arial"/>
          <w:kern w:val="2"/>
          <w:szCs w:val="20"/>
        </w:rPr>
        <w:t>[7]</w:t>
      </w:r>
      <w:r w:rsidR="005069EC">
        <w:rPr>
          <w:rFonts w:eastAsia="Arial Unicode MS" w:cs="Arial"/>
          <w:kern w:val="2"/>
          <w:szCs w:val="20"/>
        </w:rPr>
        <w:fldChar w:fldCharType="end"/>
      </w:r>
      <w:r w:rsidR="0037521A">
        <w:rPr>
          <w:rFonts w:eastAsia="Arial Unicode MS" w:cs="Arial" w:hint="eastAsia"/>
          <w:kern w:val="2"/>
          <w:szCs w:val="20"/>
        </w:rPr>
        <w:t xml:space="preserve">. </w:t>
      </w:r>
      <w:r w:rsidR="0037521A">
        <w:rPr>
          <w:rFonts w:eastAsia="Arial Unicode MS" w:cs="Arial"/>
          <w:kern w:val="2"/>
          <w:szCs w:val="20"/>
        </w:rPr>
        <w:t>T</w:t>
      </w:r>
      <w:r w:rsidR="0037521A">
        <w:rPr>
          <w:rFonts w:eastAsia="Arial Unicode MS" w:cs="Arial" w:hint="eastAsia"/>
          <w:kern w:val="2"/>
          <w:szCs w:val="20"/>
        </w:rPr>
        <w:t xml:space="preserve">his </w:t>
      </w:r>
      <w:r w:rsidR="00CE7205">
        <w:rPr>
          <w:rFonts w:eastAsia="Arial Unicode MS" w:cs="Arial" w:hint="eastAsia"/>
          <w:kern w:val="2"/>
          <w:szCs w:val="20"/>
        </w:rPr>
        <w:t xml:space="preserve">means there is only one PUCCH group. </w:t>
      </w:r>
      <w:r w:rsidR="0037521A">
        <w:rPr>
          <w:rFonts w:eastAsia="Arial Unicode MS" w:cs="Arial"/>
          <w:kern w:val="2"/>
          <w:szCs w:val="20"/>
        </w:rPr>
        <w:t>Therefore</w:t>
      </w:r>
      <w:r w:rsidR="0037521A">
        <w:rPr>
          <w:rFonts w:eastAsia="Arial Unicode MS" w:cs="Arial" w:hint="eastAsia"/>
          <w:kern w:val="2"/>
          <w:szCs w:val="20"/>
        </w:rPr>
        <w:t>, i</w:t>
      </w:r>
      <w:r w:rsidR="00CE7205">
        <w:rPr>
          <w:rFonts w:eastAsia="Arial Unicode MS" w:cs="Arial" w:hint="eastAsia"/>
          <w:kern w:val="2"/>
          <w:szCs w:val="20"/>
        </w:rPr>
        <w:t xml:space="preserve">f </w:t>
      </w:r>
      <w:r w:rsidR="002B6A52">
        <w:rPr>
          <w:rFonts w:eastAsia="Arial Unicode MS" w:cs="Arial" w:hint="eastAsia"/>
          <w:kern w:val="2"/>
          <w:szCs w:val="20"/>
        </w:rPr>
        <w:t xml:space="preserve">there can only </w:t>
      </w:r>
      <w:r w:rsidR="0037521A">
        <w:rPr>
          <w:rFonts w:eastAsia="Arial Unicode MS" w:cs="Arial" w:hint="eastAsia"/>
          <w:kern w:val="2"/>
          <w:szCs w:val="20"/>
        </w:rPr>
        <w:t xml:space="preserve">one </w:t>
      </w:r>
      <w:r w:rsidR="0037521A">
        <w:rPr>
          <w:rFonts w:eastAsia="Arial Unicode MS" w:cs="Arial"/>
          <w:kern w:val="2"/>
          <w:szCs w:val="20"/>
        </w:rPr>
        <w:t>numerology</w:t>
      </w:r>
      <w:r w:rsidR="0037521A">
        <w:rPr>
          <w:rFonts w:eastAsia="Arial Unicode MS" w:cs="Arial" w:hint="eastAsia"/>
          <w:kern w:val="2"/>
          <w:szCs w:val="20"/>
        </w:rPr>
        <w:t xml:space="preserve"> in one PUCCH group, then the cell in different bands will have to use the </w:t>
      </w:r>
      <w:r w:rsidR="00304994">
        <w:rPr>
          <w:rFonts w:eastAsia="Arial Unicode MS" w:cs="Arial" w:hint="eastAsia"/>
          <w:kern w:val="2"/>
          <w:szCs w:val="20"/>
        </w:rPr>
        <w:t xml:space="preserve">same </w:t>
      </w:r>
      <w:r w:rsidR="0037521A">
        <w:rPr>
          <w:rFonts w:eastAsia="Arial Unicode MS" w:cs="Arial"/>
          <w:kern w:val="2"/>
          <w:szCs w:val="20"/>
        </w:rPr>
        <w:t>numerology</w:t>
      </w:r>
      <w:r w:rsidR="0037521A">
        <w:rPr>
          <w:rFonts w:eastAsia="Arial Unicode MS" w:cs="Arial" w:hint="eastAsia"/>
          <w:kern w:val="2"/>
          <w:szCs w:val="20"/>
        </w:rPr>
        <w:t>, which will dramatically degrade the performance of inter-band CA</w:t>
      </w:r>
      <w:r w:rsidR="00305531">
        <w:rPr>
          <w:rFonts w:eastAsia="Arial Unicode MS" w:cs="Arial" w:hint="eastAsia"/>
          <w:kern w:val="2"/>
          <w:szCs w:val="20"/>
        </w:rPr>
        <w:t>.</w:t>
      </w:r>
    </w:p>
    <w:p w:rsidR="005069EC" w:rsidRDefault="00305531" w:rsidP="002B6A52">
      <w:pPr>
        <w:spacing w:afterLines="50"/>
        <w:jc w:val="both"/>
        <w:rPr>
          <w:rFonts w:eastAsia="Arial Unicode MS" w:cs="Arial"/>
          <w:kern w:val="2"/>
          <w:szCs w:val="20"/>
        </w:rPr>
      </w:pPr>
      <w:r>
        <w:rPr>
          <w:rFonts w:eastAsia="Arial Unicode MS" w:cs="Arial"/>
          <w:kern w:val="2"/>
          <w:szCs w:val="20"/>
        </w:rPr>
        <w:t>L</w:t>
      </w:r>
      <w:r>
        <w:rPr>
          <w:rFonts w:eastAsia="Arial Unicode MS" w:cs="Arial" w:hint="eastAsia"/>
          <w:kern w:val="2"/>
          <w:szCs w:val="20"/>
        </w:rPr>
        <w:t>et</w:t>
      </w:r>
      <w:r>
        <w:rPr>
          <w:rFonts w:eastAsia="Arial Unicode MS" w:cs="Arial"/>
          <w:kern w:val="2"/>
          <w:szCs w:val="20"/>
        </w:rPr>
        <w:t>’</w:t>
      </w:r>
      <w:r>
        <w:rPr>
          <w:rFonts w:eastAsia="Arial Unicode MS" w:cs="Arial" w:hint="eastAsia"/>
          <w:kern w:val="2"/>
          <w:szCs w:val="20"/>
        </w:rPr>
        <w:t xml:space="preserve">s take CA band combination </w:t>
      </w:r>
      <w:r>
        <w:rPr>
          <w:rFonts w:eastAsia="Arial Unicode MS" w:cs="Arial"/>
          <w:kern w:val="2"/>
          <w:szCs w:val="20"/>
        </w:rPr>
        <w:t>‘</w:t>
      </w:r>
      <w:r>
        <w:rPr>
          <w:rFonts w:eastAsia="Arial Unicode MS" w:cs="Arial" w:hint="eastAsia"/>
          <w:kern w:val="2"/>
          <w:szCs w:val="20"/>
        </w:rPr>
        <w:t>n28(700~800MHz)+n78 (3.3~3.8GHz)</w:t>
      </w:r>
      <w:r>
        <w:rPr>
          <w:rFonts w:eastAsia="Arial Unicode MS" w:cs="Arial"/>
          <w:kern w:val="2"/>
          <w:szCs w:val="20"/>
        </w:rPr>
        <w:t>’</w:t>
      </w:r>
      <w:r w:rsidRPr="00305531">
        <w:rPr>
          <w:rFonts w:eastAsia="Arial Unicode MS" w:cs="Arial"/>
          <w:kern w:val="2"/>
          <w:szCs w:val="20"/>
        </w:rPr>
        <w:t xml:space="preserve"> </w:t>
      </w:r>
      <w:r w:rsidR="005069EC">
        <w:rPr>
          <w:rFonts w:eastAsia="Arial Unicode MS" w:cs="Arial"/>
          <w:kern w:val="2"/>
          <w:szCs w:val="20"/>
        </w:rPr>
        <w:fldChar w:fldCharType="begin"/>
      </w:r>
      <w:r w:rsidR="00764CBB">
        <w:rPr>
          <w:rFonts w:eastAsia="Arial Unicode MS" w:cs="Arial"/>
          <w:kern w:val="2"/>
          <w:szCs w:val="20"/>
        </w:rPr>
        <w:instrText xml:space="preserve"> </w:instrText>
      </w:r>
      <w:r w:rsidR="00764CBB">
        <w:rPr>
          <w:rFonts w:eastAsia="Arial Unicode MS" w:cs="Arial" w:hint="eastAsia"/>
          <w:kern w:val="2"/>
          <w:szCs w:val="20"/>
        </w:rPr>
        <w:instrText>REF _Ref498623146 \n \h</w:instrText>
      </w:r>
      <w:r w:rsidR="00764CBB">
        <w:rPr>
          <w:rFonts w:eastAsia="Arial Unicode MS" w:cs="Arial"/>
          <w:kern w:val="2"/>
          <w:szCs w:val="20"/>
        </w:rPr>
        <w:instrText xml:space="preserve"> </w:instrText>
      </w:r>
      <w:r w:rsidR="005069EC">
        <w:rPr>
          <w:rFonts w:eastAsia="Arial Unicode MS" w:cs="Arial"/>
          <w:kern w:val="2"/>
          <w:szCs w:val="20"/>
        </w:rPr>
      </w:r>
      <w:r w:rsidR="005069EC">
        <w:rPr>
          <w:rFonts w:eastAsia="Arial Unicode MS" w:cs="Arial"/>
          <w:kern w:val="2"/>
          <w:szCs w:val="20"/>
        </w:rPr>
        <w:fldChar w:fldCharType="separate"/>
      </w:r>
      <w:r w:rsidR="00764CBB">
        <w:rPr>
          <w:rFonts w:eastAsia="Arial Unicode MS" w:cs="Arial"/>
          <w:kern w:val="2"/>
          <w:szCs w:val="20"/>
        </w:rPr>
        <w:t>[7]</w:t>
      </w:r>
      <w:r w:rsidR="005069EC">
        <w:rPr>
          <w:rFonts w:eastAsia="Arial Unicode MS" w:cs="Arial"/>
          <w:kern w:val="2"/>
          <w:szCs w:val="20"/>
        </w:rPr>
        <w:fldChar w:fldCharType="end"/>
      </w:r>
      <w:r>
        <w:rPr>
          <w:rFonts w:eastAsia="Arial Unicode MS" w:cs="Arial" w:hint="eastAsia"/>
          <w:kern w:val="2"/>
          <w:szCs w:val="20"/>
        </w:rPr>
        <w:t xml:space="preserve"> as an example, it is well known that 15kHz will be the most suitable SCS for the carrier of 700MHz due to requirement of large coverage and large delay spread. </w:t>
      </w:r>
      <w:r>
        <w:rPr>
          <w:rFonts w:eastAsia="Arial Unicode MS" w:cs="Arial"/>
          <w:kern w:val="2"/>
          <w:szCs w:val="20"/>
        </w:rPr>
        <w:t>M</w:t>
      </w:r>
      <w:r>
        <w:rPr>
          <w:rFonts w:eastAsia="Arial Unicode MS" w:cs="Arial" w:hint="eastAsia"/>
          <w:kern w:val="2"/>
          <w:szCs w:val="20"/>
        </w:rPr>
        <w:t xml:space="preserve">eanwhile, 30kHz SCS is the favorite of the carrier around 3.5GHz (i.e. band n78) since we need to combat large frequency offset and </w:t>
      </w:r>
      <w:r>
        <w:rPr>
          <w:rFonts w:eastAsia="Arial Unicode MS" w:cs="Arial"/>
          <w:kern w:val="2"/>
          <w:szCs w:val="20"/>
        </w:rPr>
        <w:t>want</w:t>
      </w:r>
      <w:r>
        <w:rPr>
          <w:rFonts w:eastAsia="Arial Unicode MS" w:cs="Arial" w:hint="eastAsia"/>
          <w:kern w:val="2"/>
          <w:szCs w:val="20"/>
        </w:rPr>
        <w:t xml:space="preserve"> to achieve </w:t>
      </w:r>
      <w:r w:rsidR="004930C9">
        <w:rPr>
          <w:rFonts w:eastAsia="Arial Unicode MS" w:cs="Arial" w:hint="eastAsia"/>
          <w:kern w:val="2"/>
          <w:szCs w:val="20"/>
        </w:rPr>
        <w:t>lower C-plane and U-plane latency.</w:t>
      </w:r>
    </w:p>
    <w:p w:rsidR="005069EC" w:rsidRDefault="00304994" w:rsidP="002B6A52">
      <w:pPr>
        <w:spacing w:afterLines="50"/>
        <w:jc w:val="both"/>
        <w:rPr>
          <w:rFonts w:eastAsia="Arial Unicode MS" w:cs="Arial"/>
          <w:kern w:val="2"/>
          <w:szCs w:val="20"/>
        </w:rPr>
      </w:pPr>
      <w:r>
        <w:rPr>
          <w:rFonts w:eastAsia="Arial Unicode MS" w:cs="Arial"/>
          <w:kern w:val="2"/>
          <w:szCs w:val="20"/>
        </w:rPr>
        <w:t>W</w:t>
      </w:r>
      <w:r>
        <w:rPr>
          <w:rFonts w:eastAsia="Arial Unicode MS" w:cs="Arial" w:hint="eastAsia"/>
          <w:kern w:val="2"/>
          <w:szCs w:val="20"/>
        </w:rPr>
        <w:t xml:space="preserve">hen both bands use 30kHz SCS, the performance loss </w:t>
      </w:r>
      <w:r w:rsidR="00991D7D">
        <w:rPr>
          <w:rFonts w:eastAsia="Arial Unicode MS" w:cs="Arial" w:hint="eastAsia"/>
          <w:kern w:val="2"/>
          <w:szCs w:val="20"/>
        </w:rPr>
        <w:t xml:space="preserve">at large SNR range </w:t>
      </w:r>
      <w:r>
        <w:rPr>
          <w:rFonts w:eastAsia="Arial Unicode MS" w:cs="Arial" w:hint="eastAsia"/>
          <w:kern w:val="2"/>
          <w:szCs w:val="20"/>
        </w:rPr>
        <w:t xml:space="preserve">at band n28 is seen in </w:t>
      </w:r>
      <w:r w:rsidR="005069EC">
        <w:rPr>
          <w:rFonts w:eastAsia="Arial Unicode MS" w:cs="Arial"/>
          <w:kern w:val="2"/>
          <w:szCs w:val="20"/>
          <w:highlight w:val="yellow"/>
        </w:rPr>
        <w:fldChar w:fldCharType="begin"/>
      </w:r>
      <w:r w:rsidR="00991D7D">
        <w:rPr>
          <w:rFonts w:eastAsia="Arial Unicode MS" w:cs="Arial"/>
          <w:kern w:val="2"/>
          <w:szCs w:val="20"/>
        </w:rPr>
        <w:instrText xml:space="preserve"> </w:instrText>
      </w:r>
      <w:r w:rsidR="00991D7D">
        <w:rPr>
          <w:rFonts w:eastAsia="Arial Unicode MS" w:cs="Arial" w:hint="eastAsia"/>
          <w:kern w:val="2"/>
          <w:szCs w:val="20"/>
        </w:rPr>
        <w:instrText>REF _Ref498677823 \h</w:instrText>
      </w:r>
      <w:r w:rsidR="00991D7D">
        <w:rPr>
          <w:rFonts w:eastAsia="Arial Unicode MS" w:cs="Arial"/>
          <w:kern w:val="2"/>
          <w:szCs w:val="20"/>
        </w:rPr>
        <w:instrText xml:space="preserve"> </w:instrText>
      </w:r>
      <w:r w:rsidR="005069EC">
        <w:rPr>
          <w:rFonts w:eastAsia="Arial Unicode MS" w:cs="Arial"/>
          <w:kern w:val="2"/>
          <w:szCs w:val="20"/>
          <w:highlight w:val="yellow"/>
        </w:rPr>
      </w:r>
      <w:r w:rsidR="005069EC">
        <w:rPr>
          <w:rFonts w:eastAsia="Arial Unicode MS" w:cs="Arial"/>
          <w:kern w:val="2"/>
          <w:szCs w:val="20"/>
          <w:highlight w:val="yellow"/>
        </w:rPr>
        <w:fldChar w:fldCharType="separate"/>
      </w:r>
      <w:r w:rsidR="000703F3">
        <w:t xml:space="preserve">Fig </w:t>
      </w:r>
      <w:r w:rsidR="000703F3">
        <w:rPr>
          <w:noProof/>
        </w:rPr>
        <w:t>1</w:t>
      </w:r>
      <w:r w:rsidR="005069EC">
        <w:rPr>
          <w:rFonts w:eastAsia="Arial Unicode MS" w:cs="Arial"/>
          <w:kern w:val="2"/>
          <w:szCs w:val="20"/>
          <w:highlight w:val="yellow"/>
        </w:rPr>
        <w:fldChar w:fldCharType="end"/>
      </w:r>
      <w:r>
        <w:rPr>
          <w:rFonts w:eastAsia="Arial Unicode MS" w:cs="Arial" w:hint="eastAsia"/>
          <w:kern w:val="2"/>
          <w:szCs w:val="20"/>
        </w:rPr>
        <w:t xml:space="preserve"> due to the large delay spread and lack of CP protection. </w:t>
      </w:r>
      <w:r>
        <w:rPr>
          <w:rFonts w:eastAsia="Arial Unicode MS" w:cs="Arial"/>
          <w:kern w:val="2"/>
          <w:szCs w:val="20"/>
        </w:rPr>
        <w:t>T</w:t>
      </w:r>
      <w:r>
        <w:rPr>
          <w:rFonts w:eastAsia="Arial Unicode MS" w:cs="Arial" w:hint="eastAsia"/>
          <w:kern w:val="2"/>
          <w:szCs w:val="20"/>
        </w:rPr>
        <w:t xml:space="preserve">he detailed </w:t>
      </w:r>
      <w:r>
        <w:rPr>
          <w:rFonts w:eastAsia="Arial Unicode MS" w:cs="Arial"/>
          <w:kern w:val="2"/>
          <w:szCs w:val="20"/>
        </w:rPr>
        <w:t>simulation</w:t>
      </w:r>
      <w:r>
        <w:rPr>
          <w:rFonts w:eastAsia="Arial Unicode MS" w:cs="Arial" w:hint="eastAsia"/>
          <w:kern w:val="2"/>
          <w:szCs w:val="20"/>
        </w:rPr>
        <w:t xml:space="preserve"> assumption</w:t>
      </w:r>
      <w:r w:rsidR="00AC47E8">
        <w:rPr>
          <w:rFonts w:eastAsia="Arial Unicode MS" w:cs="Arial" w:hint="eastAsia"/>
          <w:kern w:val="2"/>
          <w:szCs w:val="20"/>
        </w:rPr>
        <w:t>s</w:t>
      </w:r>
      <w:r>
        <w:rPr>
          <w:rFonts w:eastAsia="Arial Unicode MS" w:cs="Arial" w:hint="eastAsia"/>
          <w:kern w:val="2"/>
          <w:szCs w:val="20"/>
        </w:rPr>
        <w:t xml:space="preserve"> can be found in Appendix. </w:t>
      </w:r>
      <w:r>
        <w:rPr>
          <w:rFonts w:eastAsia="Arial Unicode MS" w:cs="Arial"/>
          <w:kern w:val="2"/>
          <w:szCs w:val="20"/>
        </w:rPr>
        <w:t>A</w:t>
      </w:r>
      <w:r>
        <w:rPr>
          <w:rFonts w:eastAsia="Arial Unicode MS" w:cs="Arial" w:hint="eastAsia"/>
          <w:kern w:val="2"/>
          <w:szCs w:val="20"/>
        </w:rPr>
        <w:t>dditionally, due to the short slot duration, the UL coverage at band n28 will also be damaged and slot bundling or aggregation has t</w:t>
      </w:r>
      <w:r w:rsidR="00AC47E8">
        <w:rPr>
          <w:rFonts w:eastAsia="Arial Unicode MS" w:cs="Arial" w:hint="eastAsia"/>
          <w:kern w:val="2"/>
          <w:szCs w:val="20"/>
        </w:rPr>
        <w:t xml:space="preserve">o </w:t>
      </w:r>
      <w:r w:rsidR="00A85636">
        <w:rPr>
          <w:rFonts w:eastAsia="Arial Unicode MS" w:cs="Arial" w:hint="eastAsia"/>
          <w:kern w:val="2"/>
          <w:szCs w:val="20"/>
        </w:rPr>
        <w:t xml:space="preserve">be </w:t>
      </w:r>
      <w:r w:rsidR="00AC47E8">
        <w:rPr>
          <w:rFonts w:eastAsia="Arial Unicode MS" w:cs="Arial" w:hint="eastAsia"/>
          <w:kern w:val="2"/>
          <w:szCs w:val="20"/>
        </w:rPr>
        <w:t xml:space="preserve">used, which reduce the efficiency of </w:t>
      </w:r>
      <w:r w:rsidR="00AC47E8">
        <w:rPr>
          <w:rFonts w:eastAsia="Arial Unicode MS" w:cs="Arial"/>
          <w:kern w:val="2"/>
          <w:szCs w:val="20"/>
        </w:rPr>
        <w:t>resource</w:t>
      </w:r>
      <w:r w:rsidR="00AC47E8">
        <w:rPr>
          <w:rFonts w:eastAsia="Arial Unicode MS" w:cs="Arial" w:hint="eastAsia"/>
          <w:kern w:val="2"/>
          <w:szCs w:val="20"/>
        </w:rPr>
        <w:t xml:space="preserve"> </w:t>
      </w:r>
      <w:r w:rsidR="00AC47E8">
        <w:rPr>
          <w:rFonts w:eastAsia="Arial Unicode MS" w:cs="Arial"/>
          <w:kern w:val="2"/>
          <w:szCs w:val="20"/>
        </w:rPr>
        <w:t>utilization</w:t>
      </w:r>
      <w:r>
        <w:rPr>
          <w:rFonts w:eastAsia="Arial Unicode MS" w:cs="Arial" w:hint="eastAsia"/>
          <w:kern w:val="2"/>
          <w:szCs w:val="20"/>
        </w:rPr>
        <w:t>.</w:t>
      </w:r>
    </w:p>
    <w:p w:rsidR="00991D7D" w:rsidRDefault="004B04A3" w:rsidP="00991D7D">
      <w:pPr>
        <w:keepNext/>
        <w:spacing w:line="0" w:lineRule="atLeast"/>
        <w:jc w:val="center"/>
      </w:pPr>
      <w:r>
        <w:rPr>
          <w:noProof/>
          <w:lang w:eastAsia="en-US"/>
        </w:rPr>
        <w:drawing>
          <wp:inline distT="0" distB="0" distL="0" distR="0">
            <wp:extent cx="3905804" cy="2437254"/>
            <wp:effectExtent l="1905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907720" cy="2438449"/>
                    </a:xfrm>
                    <a:prstGeom prst="rect">
                      <a:avLst/>
                    </a:prstGeom>
                    <a:noFill/>
                    <a:ln w="9525">
                      <a:noFill/>
                      <a:miter lim="800000"/>
                      <a:headEnd/>
                      <a:tailEnd/>
                    </a:ln>
                  </pic:spPr>
                </pic:pic>
              </a:graphicData>
            </a:graphic>
          </wp:inline>
        </w:drawing>
      </w:r>
    </w:p>
    <w:p w:rsidR="00304994" w:rsidRDefault="00991D7D" w:rsidP="00991D7D">
      <w:pPr>
        <w:pStyle w:val="Caption"/>
        <w:spacing w:before="0"/>
        <w:jc w:val="center"/>
        <w:rPr>
          <w:rFonts w:eastAsia="Arial Unicode MS" w:cs="Arial"/>
          <w:kern w:val="2"/>
          <w:lang w:eastAsia="zh-CN"/>
        </w:rPr>
      </w:pPr>
      <w:bookmarkStart w:id="8" w:name="_Ref498677823"/>
      <w:r>
        <w:t xml:space="preserve">Fig </w:t>
      </w:r>
      <w:r w:rsidR="005069EC">
        <w:fldChar w:fldCharType="begin"/>
      </w:r>
      <w:r w:rsidR="00B85FA4">
        <w:instrText xml:space="preserve"> SEQ Fig \* ARABIC </w:instrText>
      </w:r>
      <w:r w:rsidR="005069EC">
        <w:fldChar w:fldCharType="separate"/>
      </w:r>
      <w:r w:rsidR="00114F67">
        <w:rPr>
          <w:noProof/>
        </w:rPr>
        <w:t>1</w:t>
      </w:r>
      <w:r w:rsidR="005069EC">
        <w:fldChar w:fldCharType="end"/>
      </w:r>
      <w:bookmarkEnd w:id="8"/>
      <w:r>
        <w:rPr>
          <w:rFonts w:hint="eastAsia"/>
          <w:lang w:eastAsia="zh-CN"/>
        </w:rPr>
        <w:t xml:space="preserve"> Performance of 15kHz and 30kHz SCS @ band n28</w:t>
      </w:r>
    </w:p>
    <w:p w:rsidR="00861E6F" w:rsidRDefault="00304994" w:rsidP="002B6A52">
      <w:pPr>
        <w:spacing w:afterLines="50"/>
        <w:jc w:val="both"/>
        <w:rPr>
          <w:rFonts w:eastAsia="Arial Unicode MS" w:cs="Arial"/>
          <w:kern w:val="2"/>
          <w:szCs w:val="20"/>
        </w:rPr>
      </w:pPr>
      <w:r>
        <w:rPr>
          <w:rFonts w:eastAsia="Arial Unicode MS" w:cs="Arial"/>
          <w:kern w:val="2"/>
          <w:szCs w:val="20"/>
        </w:rPr>
        <w:t>W</w:t>
      </w:r>
      <w:r>
        <w:rPr>
          <w:rFonts w:eastAsia="Arial Unicode MS" w:cs="Arial" w:hint="eastAsia"/>
          <w:kern w:val="2"/>
          <w:szCs w:val="20"/>
        </w:rPr>
        <w:t xml:space="preserve">hen both bands use 15kHz SCS, </w:t>
      </w:r>
      <w:r w:rsidR="009B10DB">
        <w:rPr>
          <w:rFonts w:eastAsia="Arial Unicode MS" w:cs="Arial" w:hint="eastAsia"/>
          <w:kern w:val="2"/>
          <w:szCs w:val="20"/>
        </w:rPr>
        <w:t xml:space="preserve">in </w:t>
      </w:r>
      <w:r w:rsidR="009B10DB">
        <w:rPr>
          <w:rFonts w:eastAsia="Arial Unicode MS" w:cs="Arial"/>
          <w:kern w:val="2"/>
          <w:szCs w:val="20"/>
        </w:rPr>
        <w:t xml:space="preserve">addition to </w:t>
      </w:r>
      <w:r>
        <w:rPr>
          <w:rFonts w:eastAsia="Arial Unicode MS" w:cs="Arial" w:hint="eastAsia"/>
          <w:kern w:val="2"/>
          <w:szCs w:val="20"/>
        </w:rPr>
        <w:t xml:space="preserve">the </w:t>
      </w:r>
      <w:r>
        <w:rPr>
          <w:rFonts w:eastAsia="Arial Unicode MS" w:cs="Arial"/>
          <w:kern w:val="2"/>
          <w:szCs w:val="20"/>
        </w:rPr>
        <w:t>performance</w:t>
      </w:r>
      <w:r>
        <w:rPr>
          <w:rFonts w:eastAsia="Arial Unicode MS" w:cs="Arial" w:hint="eastAsia"/>
          <w:kern w:val="2"/>
          <w:szCs w:val="20"/>
        </w:rPr>
        <w:t xml:space="preserve"> </w:t>
      </w:r>
      <w:r w:rsidR="004A5498">
        <w:rPr>
          <w:rFonts w:eastAsia="Arial Unicode MS" w:cs="Arial" w:hint="eastAsia"/>
          <w:kern w:val="2"/>
          <w:szCs w:val="20"/>
        </w:rPr>
        <w:t>loss at band n78 due to large</w:t>
      </w:r>
      <w:r w:rsidR="009B10DB">
        <w:rPr>
          <w:rFonts w:eastAsia="Arial Unicode MS" w:cs="Arial" w:hint="eastAsia"/>
          <w:kern w:val="2"/>
          <w:szCs w:val="20"/>
        </w:rPr>
        <w:t>r</w:t>
      </w:r>
      <w:r w:rsidR="004A5498">
        <w:rPr>
          <w:rFonts w:eastAsia="Arial Unicode MS" w:cs="Arial" w:hint="eastAsia"/>
          <w:kern w:val="2"/>
          <w:szCs w:val="20"/>
        </w:rPr>
        <w:t xml:space="preserve"> </w:t>
      </w:r>
      <w:r w:rsidR="004A5498">
        <w:rPr>
          <w:rFonts w:eastAsia="Arial Unicode MS" w:cs="Arial"/>
          <w:kern w:val="2"/>
          <w:szCs w:val="20"/>
        </w:rPr>
        <w:t>frequency</w:t>
      </w:r>
      <w:r w:rsidR="004A5498">
        <w:rPr>
          <w:rFonts w:eastAsia="Arial Unicode MS" w:cs="Arial" w:hint="eastAsia"/>
          <w:kern w:val="2"/>
          <w:szCs w:val="20"/>
        </w:rPr>
        <w:t xml:space="preserve"> offset</w:t>
      </w:r>
      <w:r w:rsidR="00650FA2">
        <w:rPr>
          <w:rFonts w:eastAsia="Arial Unicode MS" w:cs="Arial" w:hint="eastAsia"/>
          <w:kern w:val="2"/>
          <w:szCs w:val="20"/>
        </w:rPr>
        <w:t xml:space="preserve">, </w:t>
      </w:r>
      <w:r w:rsidR="00861E6F">
        <w:rPr>
          <w:rFonts w:eastAsia="Arial Unicode MS" w:cs="Arial" w:hint="eastAsia"/>
          <w:kern w:val="2"/>
          <w:szCs w:val="20"/>
        </w:rPr>
        <w:t>latency</w:t>
      </w:r>
      <w:r w:rsidR="009B10DB">
        <w:rPr>
          <w:rFonts w:eastAsia="Arial Unicode MS" w:cs="Arial" w:hint="eastAsia"/>
          <w:kern w:val="2"/>
          <w:szCs w:val="20"/>
        </w:rPr>
        <w:t xml:space="preserve"> is another concern</w:t>
      </w:r>
      <w:r w:rsidR="00650FA2">
        <w:rPr>
          <w:rFonts w:eastAsia="Arial Unicode MS" w:cs="Arial" w:hint="eastAsia"/>
          <w:kern w:val="2"/>
          <w:szCs w:val="20"/>
        </w:rPr>
        <w:t xml:space="preserve">. </w:t>
      </w:r>
      <w:r w:rsidR="0047711A">
        <w:rPr>
          <w:rFonts w:eastAsia="Arial Unicode MS" w:cs="Arial"/>
          <w:kern w:val="2"/>
          <w:szCs w:val="20"/>
        </w:rPr>
        <w:t>S</w:t>
      </w:r>
      <w:r w:rsidR="0047711A">
        <w:rPr>
          <w:rFonts w:eastAsia="Arial Unicode MS" w:cs="Arial" w:hint="eastAsia"/>
          <w:kern w:val="2"/>
          <w:szCs w:val="20"/>
        </w:rPr>
        <w:t xml:space="preserve">ince </w:t>
      </w:r>
      <w:r w:rsidR="00206AE9">
        <w:rPr>
          <w:rFonts w:eastAsia="Arial Unicode MS" w:cs="Arial" w:hint="eastAsia"/>
          <w:kern w:val="2"/>
          <w:szCs w:val="20"/>
        </w:rPr>
        <w:t xml:space="preserve">the frame </w:t>
      </w:r>
      <w:r w:rsidR="00206AE9">
        <w:rPr>
          <w:rFonts w:eastAsia="Arial Unicode MS" w:cs="Arial"/>
          <w:kern w:val="2"/>
          <w:szCs w:val="20"/>
        </w:rPr>
        <w:t>structure</w:t>
      </w:r>
      <w:r w:rsidR="00206AE9">
        <w:rPr>
          <w:rFonts w:eastAsia="Arial Unicode MS" w:cs="Arial" w:hint="eastAsia"/>
          <w:kern w:val="2"/>
          <w:szCs w:val="20"/>
        </w:rPr>
        <w:t xml:space="preserve"> of unpaired spectrum is still under discussion, we take LTE frame </w:t>
      </w:r>
      <w:r w:rsidR="00206AE9">
        <w:rPr>
          <w:rFonts w:eastAsia="Arial Unicode MS" w:cs="Arial"/>
          <w:kern w:val="2"/>
          <w:szCs w:val="20"/>
        </w:rPr>
        <w:t>structure</w:t>
      </w:r>
      <w:r w:rsidR="00A41775">
        <w:rPr>
          <w:rFonts w:eastAsia="Arial Unicode MS" w:cs="Arial" w:hint="eastAsia"/>
          <w:kern w:val="2"/>
          <w:szCs w:val="20"/>
        </w:rPr>
        <w:t xml:space="preserve"> </w:t>
      </w:r>
      <w:r w:rsidR="00A41775" w:rsidRPr="00A41775">
        <w:rPr>
          <w:rFonts w:eastAsia="Arial Unicode MS" w:cs="Arial" w:hint="eastAsia"/>
          <w:kern w:val="2"/>
          <w:szCs w:val="20"/>
        </w:rPr>
        <w:t>of D/U configuration</w:t>
      </w:r>
      <w:r w:rsidR="00731DBB">
        <w:rPr>
          <w:rFonts w:eastAsia="Arial Unicode MS" w:cs="Arial" w:hint="eastAsia"/>
          <w:kern w:val="2"/>
          <w:szCs w:val="20"/>
        </w:rPr>
        <w:t>s</w:t>
      </w:r>
      <w:r w:rsidR="00A41775" w:rsidRPr="00A41775">
        <w:rPr>
          <w:rFonts w:eastAsia="Arial Unicode MS" w:cs="Arial" w:hint="eastAsia"/>
          <w:kern w:val="2"/>
          <w:szCs w:val="20"/>
        </w:rPr>
        <w:t xml:space="preserve"> with 2 switching point</w:t>
      </w:r>
      <w:r w:rsidR="00206AE9">
        <w:rPr>
          <w:rFonts w:eastAsia="Arial Unicode MS" w:cs="Arial" w:hint="eastAsia"/>
          <w:kern w:val="2"/>
          <w:szCs w:val="20"/>
        </w:rPr>
        <w:t xml:space="preserve"> </w:t>
      </w:r>
      <w:r w:rsidR="00E202FD">
        <w:rPr>
          <w:rFonts w:eastAsia="Arial Unicode MS" w:cs="Arial" w:hint="eastAsia"/>
          <w:kern w:val="2"/>
          <w:szCs w:val="20"/>
        </w:rPr>
        <w:t>as an example and use the analysis method</w:t>
      </w:r>
      <w:r w:rsidR="00923775">
        <w:rPr>
          <w:rFonts w:eastAsia="Arial Unicode MS" w:cs="Arial" w:hint="eastAsia"/>
          <w:kern w:val="2"/>
          <w:szCs w:val="20"/>
        </w:rPr>
        <w:t>s</w:t>
      </w:r>
      <w:r w:rsidR="00E202FD">
        <w:rPr>
          <w:rFonts w:eastAsia="Arial Unicode MS" w:cs="Arial" w:hint="eastAsia"/>
          <w:kern w:val="2"/>
          <w:szCs w:val="20"/>
        </w:rPr>
        <w:t xml:space="preserve"> in </w:t>
      </w:r>
      <w:r w:rsidR="005069EC">
        <w:rPr>
          <w:rFonts w:eastAsia="Arial Unicode MS" w:cs="Arial"/>
          <w:kern w:val="2"/>
          <w:szCs w:val="20"/>
        </w:rPr>
        <w:fldChar w:fldCharType="begin"/>
      </w:r>
      <w:r w:rsidR="00764CBB">
        <w:rPr>
          <w:rFonts w:eastAsia="Arial Unicode MS" w:cs="Arial"/>
          <w:kern w:val="2"/>
          <w:szCs w:val="20"/>
        </w:rPr>
        <w:instrText xml:space="preserve"> </w:instrText>
      </w:r>
      <w:r w:rsidR="00764CBB">
        <w:rPr>
          <w:rFonts w:eastAsia="Arial Unicode MS" w:cs="Arial" w:hint="eastAsia"/>
          <w:kern w:val="2"/>
          <w:szCs w:val="20"/>
        </w:rPr>
        <w:instrText>REF _Ref498632752 \n \h</w:instrText>
      </w:r>
      <w:r w:rsidR="00764CBB">
        <w:rPr>
          <w:rFonts w:eastAsia="Arial Unicode MS" w:cs="Arial"/>
          <w:kern w:val="2"/>
          <w:szCs w:val="20"/>
        </w:rPr>
        <w:instrText xml:space="preserve"> </w:instrText>
      </w:r>
      <w:r w:rsidR="005069EC">
        <w:rPr>
          <w:rFonts w:eastAsia="Arial Unicode MS" w:cs="Arial"/>
          <w:kern w:val="2"/>
          <w:szCs w:val="20"/>
        </w:rPr>
      </w:r>
      <w:r w:rsidR="005069EC">
        <w:rPr>
          <w:rFonts w:eastAsia="Arial Unicode MS" w:cs="Arial"/>
          <w:kern w:val="2"/>
          <w:szCs w:val="20"/>
        </w:rPr>
        <w:fldChar w:fldCharType="separate"/>
      </w:r>
      <w:r w:rsidR="00764CBB">
        <w:rPr>
          <w:rFonts w:eastAsia="Arial Unicode MS" w:cs="Arial"/>
          <w:kern w:val="2"/>
          <w:szCs w:val="20"/>
        </w:rPr>
        <w:t>[8]</w:t>
      </w:r>
      <w:r w:rsidR="005069EC">
        <w:rPr>
          <w:rFonts w:eastAsia="Arial Unicode MS" w:cs="Arial"/>
          <w:kern w:val="2"/>
          <w:szCs w:val="20"/>
        </w:rPr>
        <w:fldChar w:fldCharType="end"/>
      </w:r>
      <w:r w:rsidR="00E202FD">
        <w:rPr>
          <w:rFonts w:eastAsia="Arial Unicode MS" w:cs="Arial" w:hint="eastAsia"/>
          <w:kern w:val="2"/>
          <w:szCs w:val="20"/>
        </w:rPr>
        <w:t xml:space="preserve"> with exception of </w:t>
      </w:r>
      <w:r w:rsidR="00923775">
        <w:rPr>
          <w:rFonts w:eastAsia="Arial Unicode MS" w:cs="Arial"/>
          <w:kern w:val="2"/>
          <w:szCs w:val="20"/>
        </w:rPr>
        <w:t>utilizing</w:t>
      </w:r>
      <w:r w:rsidR="00923775">
        <w:rPr>
          <w:rFonts w:eastAsia="Arial Unicode MS" w:cs="Arial" w:hint="eastAsia"/>
          <w:kern w:val="2"/>
          <w:szCs w:val="20"/>
        </w:rPr>
        <w:t xml:space="preserve"> asynchronous UL HARQ </w:t>
      </w:r>
      <w:r w:rsidR="00AF5E83">
        <w:rPr>
          <w:rFonts w:eastAsia="Arial Unicode MS" w:cs="Arial" w:hint="eastAsia"/>
          <w:kern w:val="2"/>
          <w:szCs w:val="20"/>
        </w:rPr>
        <w:t>and</w:t>
      </w:r>
      <w:r w:rsidR="00923775">
        <w:rPr>
          <w:rFonts w:eastAsia="Arial Unicode MS" w:cs="Arial" w:hint="eastAsia"/>
          <w:kern w:val="2"/>
          <w:szCs w:val="20"/>
        </w:rPr>
        <w:t xml:space="preserve"> </w:t>
      </w:r>
      <w:r w:rsidR="00965B3F">
        <w:rPr>
          <w:rFonts w:eastAsia="Arial Unicode MS" w:cs="Arial"/>
          <w:kern w:val="2"/>
          <w:szCs w:val="20"/>
        </w:rPr>
        <w:t>halv</w:t>
      </w:r>
      <w:r w:rsidR="00965B3F">
        <w:rPr>
          <w:rFonts w:eastAsia="Arial Unicode MS" w:cs="Arial" w:hint="eastAsia"/>
          <w:kern w:val="2"/>
          <w:szCs w:val="20"/>
        </w:rPr>
        <w:t xml:space="preserve">ing </w:t>
      </w:r>
      <w:r w:rsidR="00E202FD">
        <w:rPr>
          <w:rFonts w:eastAsia="Arial Unicode MS" w:cs="Arial" w:hint="eastAsia"/>
          <w:kern w:val="2"/>
          <w:szCs w:val="20"/>
        </w:rPr>
        <w:t>gNB and UE</w:t>
      </w:r>
      <w:r w:rsidR="00E202FD">
        <w:rPr>
          <w:rFonts w:eastAsia="Arial Unicode MS" w:cs="Arial"/>
          <w:kern w:val="2"/>
          <w:szCs w:val="20"/>
        </w:rPr>
        <w:t>’</w:t>
      </w:r>
      <w:r w:rsidR="00E202FD">
        <w:rPr>
          <w:rFonts w:eastAsia="Arial Unicode MS" w:cs="Arial" w:hint="eastAsia"/>
          <w:kern w:val="2"/>
          <w:szCs w:val="20"/>
        </w:rPr>
        <w:t>s processing time</w:t>
      </w:r>
      <w:r w:rsidR="00927716">
        <w:rPr>
          <w:rFonts w:eastAsia="Arial Unicode MS" w:cs="Arial" w:hint="eastAsia"/>
          <w:kern w:val="2"/>
          <w:szCs w:val="20"/>
        </w:rPr>
        <w:t xml:space="preserve">. </w:t>
      </w:r>
      <w:r w:rsidR="00AF5E83">
        <w:rPr>
          <w:rFonts w:eastAsia="Arial Unicode MS" w:cs="Arial" w:hint="eastAsia"/>
          <w:kern w:val="2"/>
          <w:szCs w:val="20"/>
        </w:rPr>
        <w:t>Asynchronous UL HARQ enable</w:t>
      </w:r>
      <w:r w:rsidR="00381ADE">
        <w:rPr>
          <w:rFonts w:eastAsia="Arial Unicode MS" w:cs="Arial" w:hint="eastAsia"/>
          <w:kern w:val="2"/>
          <w:szCs w:val="20"/>
        </w:rPr>
        <w:t>s</w:t>
      </w:r>
      <w:r w:rsidR="00AF5E83">
        <w:rPr>
          <w:rFonts w:eastAsia="Arial Unicode MS" w:cs="Arial" w:hint="eastAsia"/>
          <w:kern w:val="2"/>
          <w:szCs w:val="20"/>
        </w:rPr>
        <w:t xml:space="preserve"> UL retransmission </w:t>
      </w:r>
      <w:r w:rsidR="00AF5E83">
        <w:rPr>
          <w:rFonts w:eastAsia="Arial Unicode MS" w:cs="Arial"/>
          <w:kern w:val="2"/>
          <w:szCs w:val="20"/>
        </w:rPr>
        <w:t>occurring</w:t>
      </w:r>
      <w:r w:rsidR="00AF5E83">
        <w:rPr>
          <w:rFonts w:eastAsia="Arial Unicode MS" w:cs="Arial" w:hint="eastAsia"/>
          <w:kern w:val="2"/>
          <w:szCs w:val="20"/>
        </w:rPr>
        <w:t xml:space="preserve"> at the </w:t>
      </w:r>
      <w:r w:rsidR="00B260D9" w:rsidRPr="00B260D9">
        <w:rPr>
          <w:rFonts w:eastAsia="Arial Unicode MS" w:cs="Arial"/>
          <w:kern w:val="2"/>
          <w:szCs w:val="20"/>
        </w:rPr>
        <w:t>closest</w:t>
      </w:r>
      <w:r w:rsidR="00B260D9">
        <w:rPr>
          <w:rFonts w:eastAsia="Arial Unicode MS" w:cs="Arial" w:hint="eastAsia"/>
          <w:kern w:val="2"/>
          <w:szCs w:val="20"/>
        </w:rPr>
        <w:t xml:space="preserve"> UL slot once the error is detected (i.e. taking the process time into </w:t>
      </w:r>
      <w:r w:rsidR="00B260D9">
        <w:rPr>
          <w:rFonts w:eastAsia="Arial Unicode MS" w:cs="Arial"/>
          <w:kern w:val="2"/>
          <w:szCs w:val="20"/>
        </w:rPr>
        <w:t>account</w:t>
      </w:r>
      <w:r w:rsidR="00B260D9">
        <w:rPr>
          <w:rFonts w:eastAsia="Arial Unicode MS" w:cs="Arial" w:hint="eastAsia"/>
          <w:kern w:val="2"/>
          <w:szCs w:val="20"/>
        </w:rPr>
        <w:t xml:space="preserve">). the assumed processing time is based on </w:t>
      </w:r>
      <w:r w:rsidR="007D4319">
        <w:rPr>
          <w:rFonts w:eastAsia="Arial Unicode MS" w:cs="Arial" w:hint="eastAsia"/>
          <w:kern w:val="2"/>
          <w:szCs w:val="20"/>
        </w:rPr>
        <w:t>the agreement in RAN1#90b</w:t>
      </w:r>
      <w:r w:rsidR="00764CBB">
        <w:rPr>
          <w:rFonts w:eastAsia="Arial Unicode MS" w:cs="Arial" w:hint="eastAsia"/>
          <w:kern w:val="2"/>
          <w:szCs w:val="20"/>
        </w:rPr>
        <w:t xml:space="preserve"> </w:t>
      </w:r>
      <w:r w:rsidR="005069EC">
        <w:rPr>
          <w:rFonts w:eastAsia="Arial Unicode MS" w:cs="Arial"/>
          <w:kern w:val="2"/>
          <w:szCs w:val="20"/>
        </w:rPr>
        <w:fldChar w:fldCharType="begin"/>
      </w:r>
      <w:r w:rsidR="00764CBB">
        <w:rPr>
          <w:rFonts w:eastAsia="Arial Unicode MS" w:cs="Arial"/>
          <w:kern w:val="2"/>
          <w:szCs w:val="20"/>
        </w:rPr>
        <w:instrText xml:space="preserve"> </w:instrText>
      </w:r>
      <w:r w:rsidR="00764CBB">
        <w:rPr>
          <w:rFonts w:eastAsia="Arial Unicode MS" w:cs="Arial" w:hint="eastAsia"/>
          <w:kern w:val="2"/>
          <w:szCs w:val="20"/>
        </w:rPr>
        <w:instrText>REF _Ref498710673 \n \h</w:instrText>
      </w:r>
      <w:r w:rsidR="00764CBB">
        <w:rPr>
          <w:rFonts w:eastAsia="Arial Unicode MS" w:cs="Arial"/>
          <w:kern w:val="2"/>
          <w:szCs w:val="20"/>
        </w:rPr>
        <w:instrText xml:space="preserve"> </w:instrText>
      </w:r>
      <w:r w:rsidR="005069EC">
        <w:rPr>
          <w:rFonts w:eastAsia="Arial Unicode MS" w:cs="Arial"/>
          <w:kern w:val="2"/>
          <w:szCs w:val="20"/>
        </w:rPr>
      </w:r>
      <w:r w:rsidR="005069EC">
        <w:rPr>
          <w:rFonts w:eastAsia="Arial Unicode MS" w:cs="Arial"/>
          <w:kern w:val="2"/>
          <w:szCs w:val="20"/>
        </w:rPr>
        <w:fldChar w:fldCharType="separate"/>
      </w:r>
      <w:r w:rsidR="00764CBB">
        <w:rPr>
          <w:rFonts w:eastAsia="Arial Unicode MS" w:cs="Arial"/>
          <w:kern w:val="2"/>
          <w:szCs w:val="20"/>
        </w:rPr>
        <w:t>[1]</w:t>
      </w:r>
      <w:r w:rsidR="005069EC">
        <w:rPr>
          <w:rFonts w:eastAsia="Arial Unicode MS" w:cs="Arial"/>
          <w:kern w:val="2"/>
          <w:szCs w:val="20"/>
        </w:rPr>
        <w:fldChar w:fldCharType="end"/>
      </w:r>
      <w:r w:rsidR="00B260D9">
        <w:rPr>
          <w:rFonts w:eastAsia="Arial Unicode MS" w:cs="Arial" w:hint="eastAsia"/>
          <w:kern w:val="2"/>
          <w:szCs w:val="20"/>
        </w:rPr>
        <w:t xml:space="preserve">, i.e. </w:t>
      </w:r>
      <w:r w:rsidR="007D4319">
        <w:rPr>
          <w:rFonts w:eastAsia="Arial Unicode MS" w:cs="Arial" w:hint="eastAsia"/>
          <w:kern w:val="2"/>
          <w:szCs w:val="20"/>
        </w:rPr>
        <w:t xml:space="preserve">the </w:t>
      </w:r>
      <w:r w:rsidR="007D4319">
        <w:rPr>
          <w:rFonts w:eastAsia="Arial Unicode MS" w:cs="Arial" w:hint="eastAsia"/>
          <w:kern w:val="2"/>
          <w:szCs w:val="20"/>
        </w:rPr>
        <w:lastRenderedPageBreak/>
        <w:t>gNB and UE</w:t>
      </w:r>
      <w:r w:rsidR="007D4319">
        <w:rPr>
          <w:rFonts w:eastAsia="Arial Unicode MS" w:cs="Arial"/>
          <w:kern w:val="2"/>
          <w:szCs w:val="20"/>
        </w:rPr>
        <w:t>’</w:t>
      </w:r>
      <w:r w:rsidR="007D4319">
        <w:rPr>
          <w:rFonts w:eastAsia="Arial Unicode MS" w:cs="Arial" w:hint="eastAsia"/>
          <w:kern w:val="2"/>
          <w:szCs w:val="20"/>
        </w:rPr>
        <w:t xml:space="preserve">s processing time at </w:t>
      </w:r>
      <w:r w:rsidR="007D4319" w:rsidRPr="007D4319">
        <w:rPr>
          <w:rFonts w:eastAsia="Arial Unicode MS" w:cs="Arial"/>
          <w:kern w:val="2"/>
          <w:szCs w:val="20"/>
        </w:rPr>
        <w:t>Capability #1</w:t>
      </w:r>
      <w:r w:rsidR="007D4319" w:rsidRPr="007D4319">
        <w:rPr>
          <w:rFonts w:eastAsia="Arial Unicode MS" w:cs="Arial" w:hint="eastAsia"/>
          <w:kern w:val="2"/>
          <w:szCs w:val="20"/>
        </w:rPr>
        <w:t xml:space="preserve"> would be 8 (13 considering additional DMRS) and 9 OFDM symbols with 15kHz SCS, which is approximately half of what is assumed in LTE.</w:t>
      </w:r>
    </w:p>
    <w:p w:rsidR="00E202FD" w:rsidRDefault="00E202FD" w:rsidP="00E202FD">
      <w:pPr>
        <w:pStyle w:val="Caption"/>
        <w:keepNext/>
        <w:spacing w:after="0" w:line="0" w:lineRule="atLeast"/>
        <w:jc w:val="center"/>
      </w:pPr>
      <w:bookmarkStart w:id="9" w:name="_Ref498633378"/>
      <w:r>
        <w:t xml:space="preserve">Table </w:t>
      </w:r>
      <w:r w:rsidR="005069EC">
        <w:fldChar w:fldCharType="begin"/>
      </w:r>
      <w:r w:rsidR="00B85FA4">
        <w:instrText xml:space="preserve"> SEQ Table \* ARABIC </w:instrText>
      </w:r>
      <w:r w:rsidR="005069EC">
        <w:fldChar w:fldCharType="separate"/>
      </w:r>
      <w:r w:rsidR="000703F3">
        <w:rPr>
          <w:noProof/>
        </w:rPr>
        <w:t>1</w:t>
      </w:r>
      <w:r w:rsidR="005069EC">
        <w:fldChar w:fldCharType="end"/>
      </w:r>
      <w:bookmarkEnd w:id="9"/>
      <w:r w:rsidRPr="00E202FD">
        <w:t xml:space="preserve"> </w:t>
      </w:r>
      <w:r w:rsidRPr="00705E07">
        <w:t xml:space="preserve">U-plane latency </w:t>
      </w:r>
      <w:r>
        <w:t xml:space="preserve">analysis with </w:t>
      </w:r>
      <w:r>
        <w:rPr>
          <w:rFonts w:hint="eastAsia"/>
        </w:rPr>
        <w:t>10</w:t>
      </w:r>
      <w:r w:rsidRPr="00705E07">
        <w:t xml:space="preserve">% HARQ </w:t>
      </w:r>
      <w:r>
        <w:rPr>
          <w:rFonts w:hint="eastAsia"/>
        </w:rPr>
        <w:t>BLER</w:t>
      </w:r>
      <w:r>
        <w:t xml:space="preserve"> </w:t>
      </w:r>
      <w:r w:rsidRPr="00705E07">
        <w:t>(average in downlink)</w:t>
      </w:r>
    </w:p>
    <w:p w:rsidR="00B85FA4" w:rsidRDefault="00DF0598" w:rsidP="002B6A52">
      <w:pPr>
        <w:spacing w:afterLines="50" w:line="240" w:lineRule="auto"/>
        <w:jc w:val="center"/>
        <w:rPr>
          <w:rFonts w:eastAsia="Arial Unicode MS" w:cs="Arial"/>
          <w:kern w:val="2"/>
          <w:szCs w:val="20"/>
        </w:rPr>
      </w:pPr>
      <w:r>
        <w:rPr>
          <w:rFonts w:eastAsia="Arial Unicode MS" w:cs="Arial"/>
          <w:noProof/>
          <w:kern w:val="2"/>
          <w:szCs w:val="20"/>
          <w:lang w:eastAsia="en-US"/>
        </w:rPr>
        <w:drawing>
          <wp:inline distT="0" distB="0" distL="0" distR="0">
            <wp:extent cx="4693092" cy="1332967"/>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693521" cy="1333089"/>
                    </a:xfrm>
                    <a:prstGeom prst="rect">
                      <a:avLst/>
                    </a:prstGeom>
                    <a:noFill/>
                    <a:ln w="9525">
                      <a:noFill/>
                      <a:miter lim="800000"/>
                      <a:headEnd/>
                      <a:tailEnd/>
                    </a:ln>
                  </pic:spPr>
                </pic:pic>
              </a:graphicData>
            </a:graphic>
          </wp:inline>
        </w:drawing>
      </w:r>
    </w:p>
    <w:p w:rsidR="00E202FD" w:rsidRDefault="00E202FD" w:rsidP="00E202FD">
      <w:pPr>
        <w:pStyle w:val="Caption"/>
        <w:keepNext/>
        <w:spacing w:after="0" w:line="0" w:lineRule="atLeast"/>
        <w:jc w:val="center"/>
        <w:rPr>
          <w:lang w:eastAsia="zh-CN"/>
        </w:rPr>
      </w:pPr>
      <w:bookmarkStart w:id="10" w:name="_Ref498633380"/>
      <w:r>
        <w:t xml:space="preserve">Table </w:t>
      </w:r>
      <w:r w:rsidR="005069EC">
        <w:fldChar w:fldCharType="begin"/>
      </w:r>
      <w:r w:rsidR="00B85FA4">
        <w:instrText xml:space="preserve"> SEQ Table \* ARABIC </w:instrText>
      </w:r>
      <w:r w:rsidR="005069EC">
        <w:fldChar w:fldCharType="separate"/>
      </w:r>
      <w:r w:rsidR="000703F3">
        <w:rPr>
          <w:noProof/>
        </w:rPr>
        <w:t>2</w:t>
      </w:r>
      <w:r w:rsidR="005069EC">
        <w:fldChar w:fldCharType="end"/>
      </w:r>
      <w:bookmarkEnd w:id="10"/>
      <w:r w:rsidRPr="00E202FD">
        <w:t xml:space="preserve"> </w:t>
      </w:r>
      <w:r w:rsidRPr="00705E07">
        <w:t xml:space="preserve">U-plane latency analysis with </w:t>
      </w:r>
      <w:r>
        <w:rPr>
          <w:rFonts w:hint="eastAsia"/>
        </w:rPr>
        <w:t>1</w:t>
      </w:r>
      <w:r w:rsidRPr="00705E07">
        <w:t xml:space="preserve">0% HARQ </w:t>
      </w:r>
      <w:r>
        <w:rPr>
          <w:rFonts w:hint="eastAsia"/>
        </w:rPr>
        <w:t>BLER</w:t>
      </w:r>
      <w:r>
        <w:t xml:space="preserve"> </w:t>
      </w:r>
      <w:r w:rsidRPr="00705E07">
        <w:t>(average in uplink</w:t>
      </w:r>
      <w:r>
        <w:rPr>
          <w:rFonts w:hint="eastAsia"/>
          <w:lang w:eastAsia="zh-CN"/>
        </w:rPr>
        <w:t>)</w:t>
      </w:r>
    </w:p>
    <w:p w:rsidR="00B85FA4" w:rsidRDefault="00DF0598" w:rsidP="002B6A52">
      <w:pPr>
        <w:spacing w:afterLines="50"/>
        <w:jc w:val="center"/>
        <w:rPr>
          <w:rFonts w:eastAsia="Arial Unicode MS" w:cs="Arial"/>
          <w:kern w:val="2"/>
          <w:szCs w:val="20"/>
        </w:rPr>
      </w:pPr>
      <w:r>
        <w:rPr>
          <w:rFonts w:eastAsia="Arial Unicode MS" w:cs="Arial"/>
          <w:noProof/>
          <w:kern w:val="2"/>
          <w:szCs w:val="20"/>
          <w:lang w:eastAsia="en-US"/>
        </w:rPr>
        <w:drawing>
          <wp:inline distT="0" distB="0" distL="0" distR="0">
            <wp:extent cx="4705908" cy="1343251"/>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4708363" cy="1343952"/>
                    </a:xfrm>
                    <a:prstGeom prst="rect">
                      <a:avLst/>
                    </a:prstGeom>
                    <a:noFill/>
                    <a:ln w="9525">
                      <a:noFill/>
                      <a:miter lim="800000"/>
                      <a:headEnd/>
                      <a:tailEnd/>
                    </a:ln>
                  </pic:spPr>
                </pic:pic>
              </a:graphicData>
            </a:graphic>
          </wp:inline>
        </w:drawing>
      </w:r>
    </w:p>
    <w:p w:rsidR="00B85FA4" w:rsidRDefault="007D4319" w:rsidP="002B6A52">
      <w:pPr>
        <w:spacing w:afterLines="50"/>
        <w:jc w:val="both"/>
        <w:rPr>
          <w:rFonts w:eastAsia="Arial Unicode MS" w:cs="Arial"/>
          <w:kern w:val="2"/>
          <w:szCs w:val="20"/>
        </w:rPr>
      </w:pPr>
      <w:r>
        <w:rPr>
          <w:rFonts w:eastAsia="Arial Unicode MS" w:cs="Arial"/>
          <w:kern w:val="2"/>
          <w:szCs w:val="20"/>
        </w:rPr>
        <w:t>I</w:t>
      </w:r>
      <w:r>
        <w:rPr>
          <w:rFonts w:eastAsia="Arial Unicode MS" w:cs="Arial" w:hint="eastAsia"/>
          <w:kern w:val="2"/>
          <w:szCs w:val="20"/>
        </w:rPr>
        <w:t xml:space="preserve">t can be observed in </w:t>
      </w:r>
      <w:fldSimple w:instr=" REF _Ref498633378 \h  \* MERGEFORMAT ">
        <w:r w:rsidR="000703F3" w:rsidRPr="000703F3">
          <w:rPr>
            <w:rFonts w:eastAsia="Arial Unicode MS" w:cs="Arial"/>
            <w:kern w:val="2"/>
            <w:szCs w:val="20"/>
          </w:rPr>
          <w:t>Table 1</w:t>
        </w:r>
      </w:fldSimple>
      <w:r>
        <w:rPr>
          <w:rFonts w:eastAsia="Arial Unicode MS" w:cs="Arial" w:hint="eastAsia"/>
          <w:kern w:val="2"/>
          <w:szCs w:val="20"/>
        </w:rPr>
        <w:t xml:space="preserve"> and </w:t>
      </w:r>
      <w:fldSimple w:instr=" REF _Ref498633380 \h  \* MERGEFORMAT ">
        <w:r w:rsidR="000703F3" w:rsidRPr="000703F3">
          <w:rPr>
            <w:rFonts w:eastAsia="Arial Unicode MS" w:cs="Arial"/>
            <w:kern w:val="2"/>
            <w:szCs w:val="20"/>
          </w:rPr>
          <w:t>Table 2</w:t>
        </w:r>
      </w:fldSimple>
      <w:r>
        <w:rPr>
          <w:rFonts w:eastAsia="Arial Unicode MS" w:cs="Arial" w:hint="eastAsia"/>
          <w:kern w:val="2"/>
          <w:szCs w:val="20"/>
        </w:rPr>
        <w:t xml:space="preserve"> that in most of cases, both DL and UL cannot satisfy the 4ms U-plane latency requirement of NR eMBB if 15kHs SCS is used.</w:t>
      </w:r>
      <w:r w:rsidR="00B260D9">
        <w:rPr>
          <w:rFonts w:eastAsia="Arial Unicode MS" w:cs="Arial" w:hint="eastAsia"/>
          <w:kern w:val="2"/>
          <w:szCs w:val="20"/>
        </w:rPr>
        <w:t xml:space="preserve"> It is noted that above analysis doesn</w:t>
      </w:r>
      <w:r w:rsidR="00B260D9">
        <w:rPr>
          <w:rFonts w:eastAsia="Arial Unicode MS" w:cs="Arial"/>
          <w:kern w:val="2"/>
          <w:szCs w:val="20"/>
        </w:rPr>
        <w:t>’</w:t>
      </w:r>
      <w:r w:rsidR="00B260D9">
        <w:rPr>
          <w:rFonts w:eastAsia="Arial Unicode MS" w:cs="Arial" w:hint="eastAsia"/>
          <w:kern w:val="2"/>
          <w:szCs w:val="20"/>
        </w:rPr>
        <w:t xml:space="preserve">t consider the impact of SR delay and propagation time, which will make latency problem more </w:t>
      </w:r>
      <w:r w:rsidR="00B260D9" w:rsidRPr="00B260D9">
        <w:rPr>
          <w:rFonts w:eastAsia="Arial Unicode MS" w:cs="Arial"/>
          <w:kern w:val="2"/>
          <w:szCs w:val="20"/>
        </w:rPr>
        <w:t>severe</w:t>
      </w:r>
      <w:r w:rsidR="00B260D9">
        <w:rPr>
          <w:rFonts w:eastAsia="Arial Unicode MS" w:cs="Arial" w:hint="eastAsia"/>
          <w:kern w:val="2"/>
          <w:szCs w:val="20"/>
        </w:rPr>
        <w:t>.</w:t>
      </w:r>
    </w:p>
    <w:p w:rsidR="005F7B5E" w:rsidRDefault="005D35E8" w:rsidP="0043385C">
      <w:pPr>
        <w:spacing w:after="50"/>
        <w:rPr>
          <w:b/>
          <w:i/>
        </w:rPr>
      </w:pPr>
      <w:r w:rsidRPr="00DE785B">
        <w:rPr>
          <w:rFonts w:hint="eastAsia"/>
          <w:b/>
          <w:i/>
        </w:rPr>
        <w:t xml:space="preserve">Observation </w:t>
      </w:r>
      <w:r w:rsidR="00D96612">
        <w:rPr>
          <w:rFonts w:hint="eastAsia"/>
          <w:b/>
          <w:i/>
        </w:rPr>
        <w:t>1</w:t>
      </w:r>
      <w:r w:rsidR="000154C5" w:rsidRPr="00DE785B">
        <w:rPr>
          <w:b/>
          <w:i/>
        </w:rPr>
        <w:t>:</w:t>
      </w:r>
      <w:r w:rsidR="000154C5">
        <w:rPr>
          <w:b/>
          <w:i/>
        </w:rPr>
        <w:t xml:space="preserve"> using</w:t>
      </w:r>
      <w:r w:rsidR="00D96612">
        <w:rPr>
          <w:rFonts w:hint="eastAsia"/>
          <w:b/>
          <w:i/>
        </w:rPr>
        <w:t xml:space="preserve"> the same </w:t>
      </w:r>
      <w:r w:rsidR="00D96612">
        <w:rPr>
          <w:b/>
          <w:i/>
        </w:rPr>
        <w:t>numerology</w:t>
      </w:r>
      <w:r w:rsidR="00D96612">
        <w:rPr>
          <w:rFonts w:hint="eastAsia"/>
          <w:b/>
          <w:i/>
        </w:rPr>
        <w:t xml:space="preserve"> for inter-band CA will dramatically degrade system </w:t>
      </w:r>
      <w:r w:rsidR="00D96612">
        <w:rPr>
          <w:b/>
          <w:i/>
        </w:rPr>
        <w:t>performance</w:t>
      </w:r>
      <w:r w:rsidR="00D96612">
        <w:rPr>
          <w:rFonts w:hint="eastAsia"/>
          <w:b/>
          <w:i/>
        </w:rPr>
        <w:t>.</w:t>
      </w:r>
    </w:p>
    <w:p w:rsidR="00D96612" w:rsidRDefault="0066182F" w:rsidP="0043385C">
      <w:pPr>
        <w:spacing w:after="50"/>
        <w:rPr>
          <w:b/>
          <w:i/>
        </w:rPr>
      </w:pPr>
      <w:r>
        <w:rPr>
          <w:rFonts w:hint="eastAsia"/>
          <w:b/>
          <w:i/>
        </w:rPr>
        <w:t>Proposal</w:t>
      </w:r>
      <w:r w:rsidR="00D96612" w:rsidRPr="00DE785B">
        <w:rPr>
          <w:rFonts w:hint="eastAsia"/>
          <w:b/>
          <w:i/>
        </w:rPr>
        <w:t xml:space="preserve"> </w:t>
      </w:r>
      <w:r w:rsidR="00D96612">
        <w:rPr>
          <w:rFonts w:hint="eastAsia"/>
          <w:b/>
          <w:i/>
        </w:rPr>
        <w:t>1</w:t>
      </w:r>
      <w:r w:rsidR="00D96612" w:rsidRPr="00DE785B">
        <w:rPr>
          <w:rFonts w:hint="eastAsia"/>
          <w:b/>
          <w:i/>
        </w:rPr>
        <w:t>:</w:t>
      </w:r>
      <w:r>
        <w:rPr>
          <w:rFonts w:hint="eastAsia"/>
          <w:b/>
          <w:i/>
        </w:rPr>
        <w:t xml:space="preserve"> </w:t>
      </w:r>
      <w:r w:rsidR="000154C5">
        <w:rPr>
          <w:rFonts w:hint="eastAsia"/>
          <w:b/>
          <w:i/>
        </w:rPr>
        <w:t>D</w:t>
      </w:r>
      <w:r>
        <w:rPr>
          <w:rFonts w:hint="eastAsia"/>
          <w:b/>
          <w:i/>
        </w:rPr>
        <w:t>ifferent numerolog</w:t>
      </w:r>
      <w:r w:rsidR="002B1187">
        <w:rPr>
          <w:rFonts w:hint="eastAsia"/>
          <w:b/>
          <w:i/>
        </w:rPr>
        <w:t>ies</w:t>
      </w:r>
      <w:r>
        <w:rPr>
          <w:rFonts w:hint="eastAsia"/>
          <w:b/>
          <w:i/>
        </w:rPr>
        <w:t xml:space="preserve"> in one PUCCH group </w:t>
      </w:r>
      <w:r w:rsidR="000154C5">
        <w:rPr>
          <w:rFonts w:hint="eastAsia"/>
          <w:b/>
          <w:i/>
        </w:rPr>
        <w:t>are</w:t>
      </w:r>
      <w:r w:rsidR="002B1187">
        <w:rPr>
          <w:rFonts w:hint="eastAsia"/>
          <w:b/>
          <w:i/>
        </w:rPr>
        <w:t xml:space="preserve"> </w:t>
      </w:r>
      <w:r>
        <w:rPr>
          <w:b/>
          <w:i/>
        </w:rPr>
        <w:t>supported</w:t>
      </w:r>
      <w:r w:rsidR="00AD5868">
        <w:rPr>
          <w:rFonts w:hint="eastAsia"/>
          <w:b/>
          <w:i/>
        </w:rPr>
        <w:t xml:space="preserve"> in R15.</w:t>
      </w:r>
    </w:p>
    <w:p w:rsidR="009A6487" w:rsidRPr="009A6487" w:rsidRDefault="00202467" w:rsidP="00A27911">
      <w:pPr>
        <w:pStyle w:val="Heading2"/>
        <w:numPr>
          <w:ilvl w:val="0"/>
          <w:numId w:val="12"/>
        </w:numPr>
        <w:spacing w:before="60" w:after="60"/>
        <w:ind w:hanging="644"/>
        <w:rPr>
          <w:szCs w:val="21"/>
        </w:rPr>
      </w:pPr>
      <w:r>
        <w:rPr>
          <w:rFonts w:hint="eastAsia"/>
          <w:szCs w:val="21"/>
          <w:lang w:eastAsia="zh-CN"/>
        </w:rPr>
        <w:t xml:space="preserve">Determination of </w:t>
      </w:r>
      <w:r w:rsidR="005501CB">
        <w:rPr>
          <w:rFonts w:hint="eastAsia"/>
          <w:szCs w:val="21"/>
          <w:lang w:eastAsia="zh-CN"/>
        </w:rPr>
        <w:t xml:space="preserve">HARQ-ACK </w:t>
      </w:r>
      <w:r>
        <w:rPr>
          <w:rFonts w:hint="eastAsia"/>
          <w:szCs w:val="21"/>
          <w:lang w:eastAsia="zh-CN"/>
        </w:rPr>
        <w:t>Codebook</w:t>
      </w:r>
    </w:p>
    <w:p w:rsidR="0010414E" w:rsidRPr="0010414E" w:rsidRDefault="0010414E" w:rsidP="002B6A52">
      <w:pPr>
        <w:spacing w:afterLines="50"/>
        <w:jc w:val="both"/>
        <w:rPr>
          <w:rFonts w:eastAsia="Arial Unicode MS" w:cs="Arial"/>
          <w:kern w:val="2"/>
          <w:szCs w:val="20"/>
        </w:rPr>
      </w:pPr>
      <w:r w:rsidRPr="0010414E">
        <w:rPr>
          <w:rFonts w:eastAsia="Arial Unicode MS" w:cs="Arial"/>
          <w:kern w:val="2"/>
          <w:szCs w:val="20"/>
        </w:rPr>
        <w:t xml:space="preserve">Although CA with more than 5 CCs is </w:t>
      </w:r>
      <w:r w:rsidR="00AB7DF7">
        <w:rPr>
          <w:rFonts w:eastAsia="Arial Unicode MS" w:cs="Arial" w:hint="eastAsia"/>
          <w:kern w:val="2"/>
          <w:szCs w:val="20"/>
        </w:rPr>
        <w:t>supported</w:t>
      </w:r>
      <w:r w:rsidRPr="0010414E">
        <w:rPr>
          <w:rFonts w:eastAsia="Arial Unicode MS" w:cs="Arial"/>
          <w:kern w:val="2"/>
          <w:szCs w:val="20"/>
        </w:rPr>
        <w:t xml:space="preserve"> in LTE, it is </w:t>
      </w:r>
      <w:r w:rsidR="000154C5">
        <w:rPr>
          <w:rFonts w:eastAsia="Arial Unicode MS" w:cs="Arial" w:hint="eastAsia"/>
          <w:kern w:val="2"/>
          <w:szCs w:val="20"/>
        </w:rPr>
        <w:t>not be deployed</w:t>
      </w:r>
      <w:r w:rsidRPr="0010414E">
        <w:rPr>
          <w:rFonts w:eastAsia="Arial Unicode MS" w:cs="Arial"/>
          <w:kern w:val="2"/>
          <w:szCs w:val="20"/>
        </w:rPr>
        <w:t xml:space="preserve"> in the real </w:t>
      </w:r>
      <w:r w:rsidR="000154C5">
        <w:rPr>
          <w:rFonts w:eastAsia="Arial Unicode MS" w:cs="Arial" w:hint="eastAsia"/>
          <w:kern w:val="2"/>
          <w:szCs w:val="20"/>
        </w:rPr>
        <w:t>network</w:t>
      </w:r>
      <w:r w:rsidRPr="0010414E">
        <w:rPr>
          <w:rFonts w:eastAsia="Arial Unicode MS" w:cs="Arial"/>
          <w:kern w:val="2"/>
          <w:szCs w:val="20"/>
        </w:rPr>
        <w:t xml:space="preserve">. Therefore, in order to </w:t>
      </w:r>
      <w:r w:rsidR="00A40A5E">
        <w:rPr>
          <w:rFonts w:eastAsia="Arial Unicode MS" w:cs="Arial" w:hint="eastAsia"/>
          <w:kern w:val="2"/>
          <w:szCs w:val="20"/>
        </w:rPr>
        <w:t xml:space="preserve">complete all relevant CA features on time, </w:t>
      </w:r>
      <w:r w:rsidRPr="0010414E">
        <w:rPr>
          <w:rFonts w:eastAsia="Arial Unicode MS" w:cs="Arial"/>
          <w:kern w:val="2"/>
          <w:szCs w:val="20"/>
        </w:rPr>
        <w:t xml:space="preserve">we propose only considering CA with 5 CCs </w:t>
      </w:r>
      <w:r w:rsidR="005F7310">
        <w:rPr>
          <w:rFonts w:eastAsia="Arial Unicode MS" w:cs="Arial" w:hint="eastAsia"/>
          <w:kern w:val="2"/>
          <w:szCs w:val="20"/>
        </w:rPr>
        <w:t xml:space="preserve">in one PUCCH group </w:t>
      </w:r>
      <w:r w:rsidRPr="0010414E">
        <w:rPr>
          <w:rFonts w:eastAsia="Arial Unicode MS" w:cs="Arial"/>
          <w:kern w:val="2"/>
          <w:szCs w:val="20"/>
        </w:rPr>
        <w:t xml:space="preserve">in </w:t>
      </w:r>
      <w:r w:rsidR="00EA0EEF">
        <w:rPr>
          <w:rFonts w:eastAsia="Arial Unicode MS" w:cs="Arial" w:hint="eastAsia"/>
          <w:kern w:val="2"/>
          <w:szCs w:val="20"/>
        </w:rPr>
        <w:t>Rel-15</w:t>
      </w:r>
      <w:r w:rsidRPr="0010414E">
        <w:rPr>
          <w:rFonts w:eastAsia="Arial Unicode MS" w:cs="Arial"/>
          <w:kern w:val="2"/>
          <w:szCs w:val="20"/>
        </w:rPr>
        <w:t>.</w:t>
      </w:r>
    </w:p>
    <w:p w:rsidR="005069EC" w:rsidRDefault="00324313" w:rsidP="002B6A52">
      <w:pPr>
        <w:spacing w:afterLines="50"/>
        <w:jc w:val="both"/>
        <w:rPr>
          <w:b/>
          <w:i/>
        </w:rPr>
      </w:pPr>
      <w:r w:rsidRPr="00324313">
        <w:rPr>
          <w:b/>
          <w:i/>
        </w:rPr>
        <w:t xml:space="preserve">Proposal </w:t>
      </w:r>
      <w:r w:rsidR="00AD6B0F">
        <w:rPr>
          <w:rFonts w:hint="eastAsia"/>
          <w:b/>
          <w:i/>
        </w:rPr>
        <w:t>2</w:t>
      </w:r>
      <w:r w:rsidRPr="00324313">
        <w:rPr>
          <w:b/>
          <w:i/>
        </w:rPr>
        <w:t>: The number of CCs with the same or different numerology in one PUCCH group does not exceed 5 at least in Rel-15.</w:t>
      </w:r>
    </w:p>
    <w:p w:rsidR="00B85FA4" w:rsidRDefault="00986879" w:rsidP="002B6A52">
      <w:pPr>
        <w:spacing w:afterLines="50"/>
        <w:jc w:val="both"/>
        <w:rPr>
          <w:rFonts w:eastAsia="Arial Unicode MS" w:cs="Arial"/>
          <w:kern w:val="2"/>
          <w:szCs w:val="20"/>
        </w:rPr>
      </w:pPr>
      <w:r>
        <w:rPr>
          <w:rFonts w:eastAsia="Arial Unicode MS" w:cs="Arial" w:hint="eastAsia"/>
          <w:kern w:val="2"/>
          <w:szCs w:val="20"/>
        </w:rPr>
        <w:t>I</w:t>
      </w:r>
      <w:r w:rsidRPr="007B71A3">
        <w:rPr>
          <w:rFonts w:eastAsia="Arial Unicode MS" w:cs="Arial" w:hint="eastAsia"/>
          <w:kern w:val="2"/>
          <w:szCs w:val="20"/>
        </w:rPr>
        <w:t xml:space="preserve">n LTE, </w:t>
      </w:r>
      <w:r w:rsidR="00AB1FBD">
        <w:rPr>
          <w:rFonts w:eastAsia="Arial Unicode MS" w:cs="Arial" w:hint="eastAsia"/>
          <w:kern w:val="2"/>
          <w:szCs w:val="20"/>
        </w:rPr>
        <w:t xml:space="preserve">when the </w:t>
      </w:r>
      <w:r w:rsidR="00AB1FBD">
        <w:rPr>
          <w:rFonts w:eastAsia="Arial Unicode MS" w:cs="Arial"/>
          <w:kern w:val="2"/>
          <w:szCs w:val="20"/>
        </w:rPr>
        <w:t>number</w:t>
      </w:r>
      <w:r w:rsidR="00AB1FBD">
        <w:rPr>
          <w:rFonts w:eastAsia="Arial Unicode MS" w:cs="Arial" w:hint="eastAsia"/>
          <w:kern w:val="2"/>
          <w:szCs w:val="20"/>
        </w:rPr>
        <w:t xml:space="preserve"> of CC is no more than 5, </w:t>
      </w:r>
      <w:r w:rsidRPr="007B71A3">
        <w:rPr>
          <w:rFonts w:eastAsia="Arial Unicode MS" w:cs="Arial" w:hint="eastAsia"/>
          <w:kern w:val="2"/>
          <w:szCs w:val="20"/>
        </w:rPr>
        <w:t>semi-static codebook</w:t>
      </w:r>
      <w:r w:rsidR="00AB1FBD">
        <w:rPr>
          <w:rFonts w:eastAsia="Arial Unicode MS" w:cs="Arial" w:hint="eastAsia"/>
          <w:kern w:val="2"/>
          <w:szCs w:val="20"/>
        </w:rPr>
        <w:t xml:space="preserve"> is used when there is no UL GRANT</w:t>
      </w:r>
      <w:r w:rsidR="000154C5">
        <w:rPr>
          <w:rFonts w:eastAsia="Arial Unicode MS" w:cs="Arial" w:hint="eastAsia"/>
          <w:kern w:val="2"/>
          <w:szCs w:val="20"/>
        </w:rPr>
        <w:t>.</w:t>
      </w:r>
      <w:r w:rsidR="00AB1FBD">
        <w:rPr>
          <w:rFonts w:eastAsia="Arial Unicode MS" w:cs="Arial" w:hint="eastAsia"/>
          <w:kern w:val="2"/>
          <w:szCs w:val="20"/>
        </w:rPr>
        <w:t xml:space="preserve"> </w:t>
      </w:r>
      <w:r w:rsidR="000154C5">
        <w:rPr>
          <w:rFonts w:eastAsia="Arial Unicode MS" w:cs="Arial" w:hint="eastAsia"/>
          <w:kern w:val="2"/>
          <w:szCs w:val="20"/>
        </w:rPr>
        <w:t>M</w:t>
      </w:r>
      <w:r w:rsidR="00AB1FBD">
        <w:rPr>
          <w:rFonts w:eastAsia="Arial Unicode MS" w:cs="Arial" w:hint="eastAsia"/>
          <w:kern w:val="2"/>
          <w:szCs w:val="20"/>
        </w:rPr>
        <w:t>eanwhile</w:t>
      </w:r>
      <w:r w:rsidR="000154C5">
        <w:rPr>
          <w:rFonts w:eastAsia="Arial Unicode MS" w:cs="Arial" w:hint="eastAsia"/>
          <w:kern w:val="2"/>
          <w:szCs w:val="20"/>
        </w:rPr>
        <w:t>,</w:t>
      </w:r>
      <w:r w:rsidRPr="007B71A3">
        <w:rPr>
          <w:rFonts w:eastAsia="Arial Unicode MS" w:cs="Arial" w:hint="eastAsia"/>
          <w:kern w:val="2"/>
          <w:szCs w:val="20"/>
        </w:rPr>
        <w:t xml:space="preserve"> dynamic codebook</w:t>
      </w:r>
      <w:r w:rsidR="00AB1FBD">
        <w:rPr>
          <w:rFonts w:eastAsia="Arial Unicode MS" w:cs="Arial" w:hint="eastAsia"/>
          <w:kern w:val="2"/>
          <w:szCs w:val="20"/>
        </w:rPr>
        <w:t xml:space="preserve"> is used when there is UL GRANT</w:t>
      </w:r>
      <w:r w:rsidRPr="007B71A3">
        <w:rPr>
          <w:rFonts w:eastAsia="Arial Unicode MS" w:cs="Arial" w:hint="eastAsia"/>
          <w:kern w:val="2"/>
          <w:szCs w:val="20"/>
        </w:rPr>
        <w:t xml:space="preserve">. </w:t>
      </w:r>
      <w:r w:rsidRPr="007B71A3">
        <w:rPr>
          <w:rFonts w:eastAsia="Arial Unicode MS" w:cs="Arial"/>
          <w:kern w:val="2"/>
          <w:szCs w:val="20"/>
        </w:rPr>
        <w:t>R</w:t>
      </w:r>
      <w:r w:rsidRPr="007B71A3">
        <w:rPr>
          <w:rFonts w:eastAsia="Arial Unicode MS" w:cs="Arial" w:hint="eastAsia"/>
          <w:kern w:val="2"/>
          <w:szCs w:val="20"/>
        </w:rPr>
        <w:t>egarding</w:t>
      </w:r>
      <w:r w:rsidR="00AB1FBD">
        <w:rPr>
          <w:rFonts w:eastAsia="Arial Unicode MS" w:cs="Arial" w:hint="eastAsia"/>
          <w:kern w:val="2"/>
          <w:szCs w:val="20"/>
        </w:rPr>
        <w:t xml:space="preserve"> to</w:t>
      </w:r>
      <w:r w:rsidRPr="007B71A3">
        <w:rPr>
          <w:rFonts w:eastAsia="Arial Unicode MS" w:cs="Arial" w:hint="eastAsia"/>
          <w:kern w:val="2"/>
          <w:szCs w:val="20"/>
        </w:rPr>
        <w:t xml:space="preserve"> HARQ-ACK multiplexing in NR, </w:t>
      </w:r>
      <w:r>
        <w:rPr>
          <w:rFonts w:eastAsia="Arial Unicode MS" w:cs="Arial" w:hint="eastAsia"/>
          <w:kern w:val="2"/>
          <w:szCs w:val="20"/>
        </w:rPr>
        <w:t>three</w:t>
      </w:r>
      <w:r w:rsidRPr="007B71A3">
        <w:rPr>
          <w:rFonts w:eastAsia="Arial Unicode MS" w:cs="Arial" w:hint="eastAsia"/>
          <w:kern w:val="2"/>
          <w:szCs w:val="20"/>
        </w:rPr>
        <w:t xml:space="preserve"> </w:t>
      </w:r>
      <w:r>
        <w:rPr>
          <w:rFonts w:eastAsia="Arial Unicode MS" w:cs="Arial" w:hint="eastAsia"/>
          <w:kern w:val="2"/>
          <w:szCs w:val="20"/>
        </w:rPr>
        <w:t>issues</w:t>
      </w:r>
      <w:r w:rsidRPr="007B71A3">
        <w:rPr>
          <w:rFonts w:eastAsia="Arial Unicode MS" w:cs="Arial" w:hint="eastAsia"/>
          <w:kern w:val="2"/>
          <w:szCs w:val="20"/>
        </w:rPr>
        <w:t xml:space="preserve"> need to be </w:t>
      </w:r>
      <w:r>
        <w:rPr>
          <w:rFonts w:eastAsia="Arial Unicode MS" w:cs="Arial" w:hint="eastAsia"/>
          <w:kern w:val="2"/>
          <w:szCs w:val="20"/>
        </w:rPr>
        <w:t>further</w:t>
      </w:r>
      <w:r w:rsidRPr="007B71A3">
        <w:rPr>
          <w:rFonts w:eastAsia="Arial Unicode MS" w:cs="Arial" w:hint="eastAsia"/>
          <w:kern w:val="2"/>
          <w:szCs w:val="20"/>
        </w:rPr>
        <w:t xml:space="preserve"> considered: </w:t>
      </w:r>
    </w:p>
    <w:p w:rsidR="00B85FA4" w:rsidRDefault="00986879" w:rsidP="002B6A52">
      <w:pPr>
        <w:pStyle w:val="ListParagraph"/>
        <w:numPr>
          <w:ilvl w:val="0"/>
          <w:numId w:val="32"/>
        </w:numPr>
        <w:spacing w:afterLines="50" w:line="240" w:lineRule="auto"/>
        <w:ind w:firstLineChars="0"/>
        <w:jc w:val="both"/>
        <w:rPr>
          <w:rFonts w:eastAsia="Arial Unicode MS" w:cs="Arial"/>
          <w:kern w:val="2"/>
          <w:szCs w:val="20"/>
        </w:rPr>
      </w:pPr>
      <w:r w:rsidRPr="007B71A3">
        <w:rPr>
          <w:rFonts w:eastAsia="Arial Unicode MS" w:cs="Arial" w:hint="eastAsia"/>
          <w:kern w:val="2"/>
          <w:szCs w:val="20"/>
        </w:rPr>
        <w:t>different slot (TTI) length (</w:t>
      </w:r>
      <w:r w:rsidR="009603E8">
        <w:rPr>
          <w:rFonts w:eastAsia="Arial Unicode MS" w:cs="Arial" w:hint="eastAsia"/>
          <w:kern w:val="2"/>
          <w:szCs w:val="20"/>
        </w:rPr>
        <w:t>due to</w:t>
      </w:r>
      <w:r w:rsidRPr="007B71A3">
        <w:rPr>
          <w:rFonts w:eastAsia="Arial Unicode MS" w:cs="Arial" w:hint="eastAsia"/>
          <w:kern w:val="2"/>
          <w:szCs w:val="20"/>
        </w:rPr>
        <w:t xml:space="preserve"> different numerology) per CC </w:t>
      </w:r>
    </w:p>
    <w:p w:rsidR="00B85FA4" w:rsidRDefault="00986879" w:rsidP="002B6A52">
      <w:pPr>
        <w:pStyle w:val="ListParagraph"/>
        <w:numPr>
          <w:ilvl w:val="0"/>
          <w:numId w:val="32"/>
        </w:numPr>
        <w:spacing w:afterLines="50" w:line="240" w:lineRule="auto"/>
        <w:ind w:firstLineChars="0"/>
        <w:jc w:val="both"/>
        <w:rPr>
          <w:rFonts w:eastAsia="Arial Unicode MS" w:cs="Arial"/>
          <w:kern w:val="2"/>
          <w:szCs w:val="20"/>
        </w:rPr>
      </w:pPr>
      <w:r>
        <w:rPr>
          <w:rFonts w:eastAsia="Arial Unicode MS" w:cs="Arial" w:hint="eastAsia"/>
          <w:kern w:val="2"/>
          <w:szCs w:val="20"/>
        </w:rPr>
        <w:t xml:space="preserve">different </w:t>
      </w:r>
      <w:r w:rsidRPr="006A3736">
        <w:rPr>
          <w:rFonts w:eastAsia="Arial Unicode MS" w:cs="Arial" w:hint="eastAsia"/>
          <w:kern w:val="2"/>
          <w:szCs w:val="20"/>
        </w:rPr>
        <w:t>configuration of CBG per CC</w:t>
      </w:r>
    </w:p>
    <w:p w:rsidR="00B85FA4" w:rsidRDefault="00986879" w:rsidP="002B6A52">
      <w:pPr>
        <w:pStyle w:val="ListParagraph"/>
        <w:numPr>
          <w:ilvl w:val="0"/>
          <w:numId w:val="32"/>
        </w:numPr>
        <w:spacing w:afterLines="50" w:line="240" w:lineRule="auto"/>
        <w:ind w:firstLineChars="0"/>
        <w:jc w:val="both"/>
        <w:rPr>
          <w:rFonts w:eastAsia="Arial Unicode MS" w:cs="Arial"/>
          <w:kern w:val="2"/>
          <w:szCs w:val="20"/>
        </w:rPr>
      </w:pPr>
      <w:r w:rsidRPr="00FA5505">
        <w:rPr>
          <w:rFonts w:eastAsia="Arial Unicode MS" w:cs="Arial" w:hint="eastAsia"/>
          <w:kern w:val="2"/>
          <w:szCs w:val="20"/>
        </w:rPr>
        <w:t>non-slot based transmission</w:t>
      </w:r>
    </w:p>
    <w:p w:rsidR="00986879" w:rsidRPr="00986879" w:rsidRDefault="00986879" w:rsidP="00986879">
      <w:pPr>
        <w:widowControl w:val="0"/>
        <w:numPr>
          <w:ilvl w:val="0"/>
          <w:numId w:val="33"/>
        </w:numPr>
        <w:adjustRightInd/>
        <w:spacing w:before="120" w:after="120" w:line="240" w:lineRule="auto"/>
        <w:ind w:left="426" w:hanging="426"/>
        <w:jc w:val="both"/>
        <w:rPr>
          <w:b/>
        </w:rPr>
      </w:pPr>
      <w:r w:rsidRPr="00986879">
        <w:rPr>
          <w:rFonts w:hint="eastAsia"/>
          <w:b/>
        </w:rPr>
        <w:lastRenderedPageBreak/>
        <w:t xml:space="preserve">Semi-static HARQ-ACK codebook </w:t>
      </w:r>
      <w:r w:rsidR="005F7310">
        <w:rPr>
          <w:rFonts w:hint="eastAsia"/>
          <w:b/>
        </w:rPr>
        <w:t>when</w:t>
      </w:r>
      <w:r w:rsidR="00381ADE">
        <w:rPr>
          <w:rFonts w:hint="eastAsia"/>
          <w:b/>
        </w:rPr>
        <w:t xml:space="preserve"> there is no UL GRANT</w:t>
      </w:r>
    </w:p>
    <w:p w:rsidR="00986879" w:rsidRDefault="00986879" w:rsidP="002B6A52">
      <w:pPr>
        <w:spacing w:afterLines="50"/>
        <w:jc w:val="both"/>
        <w:rPr>
          <w:rFonts w:eastAsia="Arial Unicode MS" w:cs="Arial"/>
          <w:kern w:val="2"/>
          <w:szCs w:val="20"/>
        </w:rPr>
      </w:pPr>
      <w:r w:rsidRPr="00A21D06">
        <w:rPr>
          <w:rFonts w:eastAsia="Arial Unicode MS" w:cs="Arial" w:hint="eastAsia"/>
          <w:kern w:val="2"/>
          <w:szCs w:val="20"/>
        </w:rPr>
        <w:t xml:space="preserve">The HARQ-ACK codebook size can be determined based on the configured number of CCs and the </w:t>
      </w:r>
      <w:r>
        <w:rPr>
          <w:rFonts w:eastAsia="Arial Unicode MS" w:cs="Arial" w:hint="eastAsia"/>
          <w:kern w:val="2"/>
          <w:szCs w:val="20"/>
        </w:rPr>
        <w:t xml:space="preserve">number of slots within the </w:t>
      </w:r>
      <w:r w:rsidRPr="00A21D06">
        <w:rPr>
          <w:rFonts w:eastAsia="Arial Unicode MS" w:cs="Arial" w:hint="eastAsia"/>
          <w:kern w:val="2"/>
          <w:szCs w:val="20"/>
        </w:rPr>
        <w:t>bundling window</w:t>
      </w:r>
      <w:r>
        <w:rPr>
          <w:rFonts w:eastAsia="Arial Unicode MS" w:cs="Arial" w:hint="eastAsia"/>
          <w:kern w:val="2"/>
          <w:szCs w:val="20"/>
        </w:rPr>
        <w:t xml:space="preserve">. </w:t>
      </w:r>
    </w:p>
    <w:p w:rsidR="005069EC" w:rsidRDefault="005F7310" w:rsidP="002B6A52">
      <w:pPr>
        <w:spacing w:afterLines="50"/>
        <w:jc w:val="both"/>
        <w:rPr>
          <w:rFonts w:eastAsia="Arial Unicode MS" w:cs="Arial"/>
          <w:kern w:val="2"/>
          <w:szCs w:val="20"/>
        </w:rPr>
      </w:pPr>
      <w:r>
        <w:rPr>
          <w:rFonts w:eastAsia="Arial Unicode MS" w:cs="Arial" w:hint="eastAsia"/>
          <w:kern w:val="2"/>
          <w:szCs w:val="20"/>
        </w:rPr>
        <w:t xml:space="preserve">In NR, CBG based </w:t>
      </w:r>
      <w:r w:rsidR="00CB09D1">
        <w:rPr>
          <w:rFonts w:eastAsia="Arial Unicode MS" w:cs="Arial" w:hint="eastAsia"/>
          <w:kern w:val="2"/>
          <w:szCs w:val="20"/>
        </w:rPr>
        <w:t xml:space="preserve">feedback has been introduced to improve the </w:t>
      </w:r>
      <w:r w:rsidR="00CB09D1" w:rsidRPr="00CB09D1">
        <w:rPr>
          <w:rFonts w:eastAsia="Arial Unicode MS" w:cs="Arial"/>
          <w:kern w:val="2"/>
          <w:szCs w:val="20"/>
        </w:rPr>
        <w:t>efficiency</w:t>
      </w:r>
      <w:r w:rsidR="00CB09D1" w:rsidRPr="00CB09D1">
        <w:rPr>
          <w:rFonts w:eastAsia="Arial Unicode MS" w:cs="Arial" w:hint="eastAsia"/>
          <w:kern w:val="2"/>
          <w:szCs w:val="20"/>
        </w:rPr>
        <w:t xml:space="preserve"> of</w:t>
      </w:r>
      <w:r w:rsidR="00CB09D1" w:rsidRPr="00CB09D1">
        <w:rPr>
          <w:rFonts w:eastAsia="Arial Unicode MS" w:cs="Arial"/>
          <w:kern w:val="2"/>
          <w:szCs w:val="20"/>
        </w:rPr>
        <w:t xml:space="preserve"> retransmission</w:t>
      </w:r>
      <w:r w:rsidR="00CB09D1" w:rsidRPr="00CB09D1">
        <w:rPr>
          <w:rFonts w:eastAsia="Arial Unicode MS" w:cs="Arial" w:hint="eastAsia"/>
          <w:kern w:val="2"/>
          <w:szCs w:val="20"/>
        </w:rPr>
        <w:t xml:space="preserve">. </w:t>
      </w:r>
      <w:r w:rsidR="00CB09D1">
        <w:rPr>
          <w:rFonts w:eastAsia="Arial Unicode MS" w:cs="Arial" w:hint="eastAsia"/>
          <w:kern w:val="2"/>
          <w:szCs w:val="20"/>
        </w:rPr>
        <w:t>M</w:t>
      </w:r>
      <w:r w:rsidR="00CB09D1" w:rsidRPr="00CB09D1">
        <w:rPr>
          <w:rFonts w:eastAsia="Arial Unicode MS" w:cs="Arial"/>
          <w:kern w:val="2"/>
          <w:szCs w:val="20"/>
        </w:rPr>
        <w:t>eanwhile</w:t>
      </w:r>
      <w:r w:rsidR="00CB09D1">
        <w:rPr>
          <w:rFonts w:eastAsia="Arial Unicode MS" w:cs="Arial" w:hint="eastAsia"/>
          <w:kern w:val="2"/>
          <w:szCs w:val="20"/>
        </w:rPr>
        <w:t xml:space="preserve">, the size of </w:t>
      </w:r>
      <w:r w:rsidR="00CB09D1" w:rsidRPr="00CB09D1">
        <w:rPr>
          <w:rFonts w:eastAsia="Arial Unicode MS" w:cs="Arial" w:hint="eastAsia"/>
          <w:kern w:val="2"/>
          <w:szCs w:val="20"/>
        </w:rPr>
        <w:t xml:space="preserve">semi-static </w:t>
      </w:r>
      <w:r w:rsidR="00CB09D1">
        <w:rPr>
          <w:rFonts w:eastAsia="Arial Unicode MS" w:cs="Arial" w:hint="eastAsia"/>
          <w:kern w:val="2"/>
          <w:szCs w:val="20"/>
        </w:rPr>
        <w:t xml:space="preserve">HARQ-ACK codebook </w:t>
      </w:r>
      <w:bookmarkStart w:id="11" w:name="OLE_LINK10"/>
      <w:r w:rsidR="00CB09D1">
        <w:rPr>
          <w:rFonts w:eastAsia="Arial Unicode MS" w:cs="Arial" w:hint="eastAsia"/>
          <w:kern w:val="2"/>
          <w:szCs w:val="20"/>
        </w:rPr>
        <w:t>will be increased</w:t>
      </w:r>
      <w:bookmarkEnd w:id="11"/>
      <w:r w:rsidR="00CB09D1">
        <w:rPr>
          <w:rFonts w:eastAsia="Arial Unicode MS" w:cs="Arial" w:hint="eastAsia"/>
          <w:kern w:val="2"/>
          <w:szCs w:val="20"/>
        </w:rPr>
        <w:t xml:space="preserve">, which means a larger overhead of UL feedback. </w:t>
      </w:r>
      <w:r w:rsidR="00A40A5E">
        <w:rPr>
          <w:rFonts w:eastAsia="Arial Unicode MS" w:cs="Arial" w:hint="eastAsia"/>
          <w:kern w:val="2"/>
          <w:szCs w:val="20"/>
        </w:rPr>
        <w:t xml:space="preserve">However, </w:t>
      </w:r>
      <w:r w:rsidR="006548A9">
        <w:rPr>
          <w:rFonts w:eastAsia="Arial Unicode MS" w:cs="Arial" w:hint="eastAsia"/>
          <w:kern w:val="2"/>
          <w:szCs w:val="20"/>
        </w:rPr>
        <w:t xml:space="preserve">CBG based feedback is </w:t>
      </w:r>
      <w:r w:rsidR="00A40A5E">
        <w:rPr>
          <w:rFonts w:eastAsia="Arial Unicode MS" w:cs="Arial" w:hint="eastAsia"/>
          <w:kern w:val="2"/>
          <w:szCs w:val="20"/>
        </w:rPr>
        <w:t>usually</w:t>
      </w:r>
      <w:r w:rsidR="006548A9" w:rsidRPr="006548A9">
        <w:rPr>
          <w:rFonts w:eastAsia="Arial Unicode MS" w:cs="Arial"/>
          <w:kern w:val="2"/>
          <w:szCs w:val="20"/>
        </w:rPr>
        <w:t xml:space="preserve"> configured</w:t>
      </w:r>
      <w:r w:rsidR="006548A9" w:rsidRPr="006548A9">
        <w:rPr>
          <w:rFonts w:eastAsia="Arial Unicode MS" w:cs="Arial" w:hint="eastAsia"/>
          <w:kern w:val="2"/>
          <w:szCs w:val="20"/>
        </w:rPr>
        <w:t xml:space="preserve"> </w:t>
      </w:r>
      <w:r w:rsidR="006548A9">
        <w:rPr>
          <w:rFonts w:eastAsia="Arial Unicode MS" w:cs="Arial" w:hint="eastAsia"/>
          <w:kern w:val="2"/>
          <w:szCs w:val="20"/>
        </w:rPr>
        <w:t>for the UE</w:t>
      </w:r>
      <w:r w:rsidR="006548A9" w:rsidRPr="006548A9">
        <w:rPr>
          <w:rFonts w:eastAsia="Arial Unicode MS" w:cs="Arial" w:hint="eastAsia"/>
          <w:kern w:val="2"/>
          <w:szCs w:val="20"/>
        </w:rPr>
        <w:t xml:space="preserve"> </w:t>
      </w:r>
      <w:r w:rsidR="006548A9">
        <w:rPr>
          <w:rFonts w:eastAsia="Arial Unicode MS" w:cs="Arial" w:hint="eastAsia"/>
          <w:kern w:val="2"/>
          <w:szCs w:val="20"/>
        </w:rPr>
        <w:t>with</w:t>
      </w:r>
      <w:r w:rsidR="00A40A5E">
        <w:rPr>
          <w:rFonts w:eastAsia="Arial Unicode MS" w:cs="Arial" w:hint="eastAsia"/>
          <w:kern w:val="2"/>
          <w:szCs w:val="20"/>
        </w:rPr>
        <w:t xml:space="preserve"> </w:t>
      </w:r>
      <w:r w:rsidR="006548A9" w:rsidRPr="006548A9">
        <w:rPr>
          <w:rFonts w:eastAsia="Arial Unicode MS" w:cs="Arial"/>
          <w:kern w:val="2"/>
          <w:szCs w:val="20"/>
        </w:rPr>
        <w:t>high</w:t>
      </w:r>
      <w:r w:rsidR="006548A9" w:rsidRPr="006548A9">
        <w:rPr>
          <w:rFonts w:eastAsia="Arial Unicode MS" w:cs="Arial" w:hint="eastAsia"/>
          <w:kern w:val="2"/>
          <w:szCs w:val="20"/>
        </w:rPr>
        <w:t xml:space="preserve"> SNR</w:t>
      </w:r>
      <w:r w:rsidR="006548A9">
        <w:rPr>
          <w:rFonts w:eastAsia="Arial Unicode MS" w:cs="Arial" w:hint="eastAsia"/>
          <w:kern w:val="2"/>
          <w:szCs w:val="20"/>
        </w:rPr>
        <w:t xml:space="preserve">. A larger payload size for UL feedback will be </w:t>
      </w:r>
      <w:r w:rsidR="00A40A5E">
        <w:rPr>
          <w:rFonts w:eastAsia="Arial Unicode MS" w:cs="Arial" w:hint="eastAsia"/>
          <w:kern w:val="2"/>
          <w:szCs w:val="20"/>
        </w:rPr>
        <w:t>supported</w:t>
      </w:r>
      <w:r w:rsidR="006548A9">
        <w:rPr>
          <w:rFonts w:eastAsia="Arial Unicode MS" w:cs="Arial" w:hint="eastAsia"/>
          <w:kern w:val="2"/>
          <w:szCs w:val="20"/>
        </w:rPr>
        <w:t xml:space="preserve"> correspondingly.</w:t>
      </w:r>
      <w:r w:rsidR="006548A9" w:rsidRPr="006548A9">
        <w:rPr>
          <w:rFonts w:eastAsia="Arial Unicode MS" w:cs="Arial" w:hint="eastAsia"/>
          <w:kern w:val="2"/>
          <w:szCs w:val="20"/>
        </w:rPr>
        <w:t xml:space="preserve"> </w:t>
      </w:r>
      <w:r w:rsidR="006548A9">
        <w:rPr>
          <w:rFonts w:eastAsia="Arial Unicode MS" w:cs="Arial" w:hint="eastAsia"/>
          <w:kern w:val="2"/>
          <w:szCs w:val="20"/>
        </w:rPr>
        <w:t xml:space="preserve">So </w:t>
      </w:r>
      <w:r w:rsidR="006548A9" w:rsidRPr="006548A9">
        <w:rPr>
          <w:rFonts w:eastAsia="Arial Unicode MS" w:cs="Arial" w:hint="eastAsia"/>
          <w:kern w:val="2"/>
          <w:szCs w:val="20"/>
        </w:rPr>
        <w:t>semi-static HARQ-ACK codebook</w:t>
      </w:r>
      <w:r w:rsidR="006548A9">
        <w:rPr>
          <w:rFonts w:eastAsia="Arial Unicode MS" w:cs="Arial" w:hint="eastAsia"/>
          <w:kern w:val="2"/>
          <w:szCs w:val="20"/>
        </w:rPr>
        <w:t xml:space="preserve"> can also be used even if CBG based feedback is configured. </w:t>
      </w:r>
    </w:p>
    <w:p w:rsidR="00B85FA4" w:rsidRDefault="006548A9" w:rsidP="002B6A52">
      <w:pPr>
        <w:spacing w:afterLines="50"/>
        <w:jc w:val="both"/>
        <w:rPr>
          <w:rFonts w:eastAsia="Arial Unicode MS" w:cs="Arial"/>
          <w:kern w:val="2"/>
          <w:szCs w:val="20"/>
        </w:rPr>
      </w:pPr>
      <w:r>
        <w:rPr>
          <w:rFonts w:eastAsia="Arial Unicode MS" w:cs="Arial" w:hint="eastAsia"/>
          <w:kern w:val="2"/>
          <w:szCs w:val="20"/>
        </w:rPr>
        <w:t>On the other hand</w:t>
      </w:r>
      <w:r w:rsidR="00986879">
        <w:rPr>
          <w:rFonts w:eastAsia="Arial Unicode MS" w:cs="Arial" w:hint="eastAsia"/>
          <w:kern w:val="2"/>
          <w:szCs w:val="20"/>
        </w:rPr>
        <w:t>, the number of slots may be different</w:t>
      </w:r>
      <w:r w:rsidR="00986879" w:rsidRPr="00DB1CE0">
        <w:rPr>
          <w:rFonts w:eastAsia="Arial Unicode MS" w:cs="Arial" w:hint="eastAsia"/>
          <w:kern w:val="2"/>
          <w:szCs w:val="20"/>
        </w:rPr>
        <w:t xml:space="preserve"> </w:t>
      </w:r>
      <w:r w:rsidR="00986879">
        <w:rPr>
          <w:rFonts w:eastAsia="Arial Unicode MS" w:cs="Arial" w:hint="eastAsia"/>
          <w:kern w:val="2"/>
          <w:szCs w:val="20"/>
        </w:rPr>
        <w:t>for CCs with different numerology</w:t>
      </w:r>
      <w:r>
        <w:rPr>
          <w:rFonts w:eastAsia="Arial Unicode MS" w:cs="Arial" w:hint="eastAsia"/>
          <w:kern w:val="2"/>
          <w:szCs w:val="20"/>
        </w:rPr>
        <w:t xml:space="preserve"> in NR</w:t>
      </w:r>
      <w:r w:rsidR="00986879">
        <w:rPr>
          <w:rFonts w:eastAsia="Arial Unicode MS" w:cs="Arial" w:hint="eastAsia"/>
          <w:kern w:val="2"/>
          <w:szCs w:val="20"/>
        </w:rPr>
        <w:t>. F</w:t>
      </w:r>
      <w:r w:rsidR="00986879" w:rsidRPr="00177D4E">
        <w:rPr>
          <w:rFonts w:eastAsia="Arial Unicode MS" w:cs="Arial"/>
          <w:kern w:val="2"/>
          <w:szCs w:val="20"/>
        </w:rPr>
        <w:t>ortunately</w:t>
      </w:r>
      <w:r w:rsidR="00986879">
        <w:rPr>
          <w:rFonts w:eastAsia="Arial Unicode MS" w:cs="Arial" w:hint="eastAsia"/>
          <w:kern w:val="2"/>
          <w:szCs w:val="20"/>
        </w:rPr>
        <w:t>,</w:t>
      </w:r>
      <w:r w:rsidR="00986879" w:rsidRPr="00177D4E">
        <w:rPr>
          <w:rFonts w:eastAsia="Arial Unicode MS" w:cs="Arial" w:hint="eastAsia"/>
          <w:kern w:val="2"/>
          <w:szCs w:val="20"/>
        </w:rPr>
        <w:t xml:space="preserve"> </w:t>
      </w:r>
      <w:r w:rsidR="00986879">
        <w:rPr>
          <w:rFonts w:eastAsia="Arial Unicode MS" w:cs="Arial" w:hint="eastAsia"/>
          <w:kern w:val="2"/>
          <w:szCs w:val="20"/>
        </w:rPr>
        <w:t xml:space="preserve">a </w:t>
      </w:r>
      <w:r w:rsidR="002B661D">
        <w:rPr>
          <w:rFonts w:eastAsia="Arial Unicode MS" w:cs="Arial" w:hint="eastAsia"/>
          <w:kern w:val="2"/>
          <w:szCs w:val="20"/>
        </w:rPr>
        <w:t>common</w:t>
      </w:r>
      <w:r w:rsidR="00986879">
        <w:rPr>
          <w:rFonts w:eastAsia="Arial Unicode MS" w:cs="Arial" w:hint="eastAsia"/>
          <w:kern w:val="2"/>
          <w:szCs w:val="20"/>
        </w:rPr>
        <w:t xml:space="preserve"> understanding of HARQ-ACK codebook between UE and gNB</w:t>
      </w:r>
      <w:r w:rsidR="00986879" w:rsidRPr="00177D4E">
        <w:rPr>
          <w:rFonts w:eastAsia="Arial Unicode MS" w:cs="Arial" w:hint="eastAsia"/>
          <w:kern w:val="2"/>
          <w:szCs w:val="20"/>
        </w:rPr>
        <w:t xml:space="preserve"> </w:t>
      </w:r>
      <w:r w:rsidR="00C74940">
        <w:rPr>
          <w:rFonts w:eastAsia="Arial Unicode MS" w:cs="Arial" w:hint="eastAsia"/>
          <w:kern w:val="2"/>
          <w:szCs w:val="20"/>
        </w:rPr>
        <w:t>can still be achieved</w:t>
      </w:r>
      <w:r w:rsidR="00986879">
        <w:rPr>
          <w:rFonts w:eastAsia="Arial Unicode MS" w:cs="Arial" w:hint="eastAsia"/>
          <w:kern w:val="2"/>
          <w:szCs w:val="20"/>
        </w:rPr>
        <w:t xml:space="preserve">. </w:t>
      </w:r>
    </w:p>
    <w:p w:rsidR="00B85FA4" w:rsidRDefault="00986879" w:rsidP="002B6A52">
      <w:pPr>
        <w:spacing w:afterLines="50"/>
        <w:jc w:val="both"/>
        <w:rPr>
          <w:rFonts w:eastAsia="Arial Unicode MS" w:cs="Arial"/>
          <w:kern w:val="2"/>
          <w:szCs w:val="20"/>
        </w:rPr>
      </w:pPr>
      <w:r>
        <w:rPr>
          <w:rFonts w:eastAsia="Arial Unicode MS" w:cs="Arial" w:hint="eastAsia"/>
          <w:kern w:val="2"/>
          <w:szCs w:val="20"/>
        </w:rPr>
        <w:t>For example, more slots will be involved within HARQ bundling window for the CC with larger SCS. The number of slots for each CC can be determined bas</w:t>
      </w:r>
      <w:r w:rsidR="00882FF6">
        <w:rPr>
          <w:rFonts w:eastAsia="Arial Unicode MS" w:cs="Arial" w:hint="eastAsia"/>
          <w:kern w:val="2"/>
          <w:szCs w:val="20"/>
        </w:rPr>
        <w:t>ed</w:t>
      </w:r>
      <w:r>
        <w:rPr>
          <w:rFonts w:eastAsia="Arial Unicode MS" w:cs="Arial" w:hint="eastAsia"/>
          <w:kern w:val="2"/>
          <w:szCs w:val="20"/>
        </w:rPr>
        <w:t xml:space="preserve"> on</w:t>
      </w:r>
      <w:r w:rsidR="000154C5">
        <w:rPr>
          <w:rFonts w:eastAsia="Arial Unicode MS" w:cs="Arial" w:hint="eastAsia"/>
          <w:kern w:val="2"/>
          <w:szCs w:val="20"/>
        </w:rPr>
        <w:t xml:space="preserve"> </w:t>
      </w:r>
      <w:r>
        <w:rPr>
          <w:rFonts w:eastAsia="Arial Unicode MS" w:cs="Arial" w:hint="eastAsia"/>
          <w:kern w:val="2"/>
          <w:szCs w:val="20"/>
        </w:rPr>
        <w:t xml:space="preserve">each numerology respectively. The HARQ-ACK codebook size will be determined by the sum of slots of each CC. Also, </w:t>
      </w:r>
      <w:r w:rsidR="00C74940">
        <w:rPr>
          <w:rFonts w:eastAsia="Arial Unicode MS" w:cs="Arial" w:hint="eastAsia"/>
          <w:kern w:val="2"/>
          <w:szCs w:val="20"/>
        </w:rPr>
        <w:t>the</w:t>
      </w:r>
      <w:r w:rsidR="00654ABF">
        <w:rPr>
          <w:rFonts w:eastAsia="Arial Unicode MS" w:cs="Arial" w:hint="eastAsia"/>
          <w:kern w:val="2"/>
          <w:szCs w:val="20"/>
        </w:rPr>
        <w:t xml:space="preserve"> set of </w:t>
      </w:r>
      <w:r w:rsidRPr="00A21D06">
        <w:rPr>
          <w:rFonts w:eastAsia="Arial Unicode MS" w:cs="Arial" w:hint="eastAsia"/>
          <w:kern w:val="2"/>
          <w:szCs w:val="20"/>
        </w:rPr>
        <w:t>HARQ-ACK timing</w:t>
      </w:r>
      <w:r w:rsidR="00F45382">
        <w:rPr>
          <w:rFonts w:eastAsia="Arial Unicode MS" w:cs="Arial" w:hint="eastAsia"/>
          <w:kern w:val="2"/>
          <w:szCs w:val="20"/>
        </w:rPr>
        <w:t xml:space="preserve"> values</w:t>
      </w:r>
      <w:r w:rsidRPr="00A21D06">
        <w:rPr>
          <w:rFonts w:eastAsia="Arial Unicode MS" w:cs="Arial" w:hint="eastAsia"/>
          <w:kern w:val="2"/>
          <w:szCs w:val="20"/>
        </w:rPr>
        <w:t xml:space="preserve"> </w:t>
      </w:r>
      <w:r w:rsidR="00654ABF">
        <w:rPr>
          <w:rFonts w:eastAsia="Arial Unicode MS" w:cs="Arial" w:hint="eastAsia"/>
          <w:kern w:val="2"/>
          <w:szCs w:val="20"/>
        </w:rPr>
        <w:t>will</w:t>
      </w:r>
      <w:r>
        <w:rPr>
          <w:rFonts w:eastAsia="Arial Unicode MS" w:cs="Arial" w:hint="eastAsia"/>
          <w:kern w:val="2"/>
          <w:szCs w:val="20"/>
        </w:rPr>
        <w:t xml:space="preserve"> be </w:t>
      </w:r>
      <w:r w:rsidR="00654ABF">
        <w:rPr>
          <w:rFonts w:eastAsia="Arial Unicode MS" w:cs="Arial" w:hint="eastAsia"/>
          <w:kern w:val="2"/>
          <w:szCs w:val="20"/>
        </w:rPr>
        <w:t>configured</w:t>
      </w:r>
      <w:r>
        <w:rPr>
          <w:rFonts w:eastAsia="Arial Unicode MS" w:cs="Arial" w:hint="eastAsia"/>
          <w:kern w:val="2"/>
          <w:szCs w:val="20"/>
        </w:rPr>
        <w:t xml:space="preserve"> by RRC signaling. </w:t>
      </w:r>
      <w:r w:rsidR="00A81983">
        <w:rPr>
          <w:rFonts w:eastAsia="Arial Unicode MS" w:cs="Arial" w:hint="eastAsia"/>
          <w:kern w:val="2"/>
          <w:szCs w:val="20"/>
        </w:rPr>
        <w:t>The</w:t>
      </w:r>
      <w:r w:rsidR="00F45382">
        <w:rPr>
          <w:rFonts w:eastAsia="Arial Unicode MS" w:cs="Arial" w:hint="eastAsia"/>
          <w:kern w:val="2"/>
          <w:szCs w:val="20"/>
        </w:rPr>
        <w:t xml:space="preserve"> DL</w:t>
      </w:r>
      <w:r w:rsidR="00A81983">
        <w:rPr>
          <w:rFonts w:eastAsia="Arial Unicode MS" w:cs="Arial" w:hint="eastAsia"/>
          <w:kern w:val="2"/>
          <w:szCs w:val="20"/>
        </w:rPr>
        <w:t xml:space="preserve"> slots </w:t>
      </w:r>
      <w:r w:rsidR="00F45382">
        <w:rPr>
          <w:rFonts w:eastAsia="Arial Unicode MS" w:cs="Arial" w:hint="eastAsia"/>
          <w:kern w:val="2"/>
          <w:szCs w:val="20"/>
        </w:rPr>
        <w:t>corresponding to PUCCH</w:t>
      </w:r>
      <w:r w:rsidR="00A81983" w:rsidRPr="00207A50">
        <w:rPr>
          <w:rFonts w:eastAsia="Arial Unicode MS" w:cs="Arial" w:hint="eastAsia"/>
          <w:kern w:val="2"/>
          <w:szCs w:val="20"/>
        </w:rPr>
        <w:t xml:space="preserve"> slot can be </w:t>
      </w:r>
      <w:r w:rsidR="00F45382">
        <w:rPr>
          <w:rFonts w:eastAsia="Arial Unicode MS" w:cs="Arial" w:hint="eastAsia"/>
          <w:kern w:val="2"/>
          <w:szCs w:val="20"/>
        </w:rPr>
        <w:t>determined</w:t>
      </w:r>
      <w:r w:rsidR="00A81983">
        <w:rPr>
          <w:rFonts w:eastAsia="Arial Unicode MS" w:cs="Arial" w:hint="eastAsia"/>
          <w:kern w:val="2"/>
          <w:szCs w:val="20"/>
        </w:rPr>
        <w:t xml:space="preserve"> bas</w:t>
      </w:r>
      <w:r w:rsidR="00F45382">
        <w:rPr>
          <w:rFonts w:eastAsia="Arial Unicode MS" w:cs="Arial" w:hint="eastAsia"/>
          <w:kern w:val="2"/>
          <w:szCs w:val="20"/>
        </w:rPr>
        <w:t>ed</w:t>
      </w:r>
      <w:r w:rsidR="00A81983">
        <w:rPr>
          <w:rFonts w:eastAsia="Arial Unicode MS" w:cs="Arial" w:hint="eastAsia"/>
          <w:kern w:val="2"/>
          <w:szCs w:val="20"/>
        </w:rPr>
        <w:t xml:space="preserve"> on </w:t>
      </w:r>
      <w:r w:rsidR="00F45382">
        <w:rPr>
          <w:rFonts w:eastAsia="Arial Unicode MS" w:cs="Arial" w:hint="eastAsia"/>
          <w:kern w:val="2"/>
          <w:szCs w:val="20"/>
        </w:rPr>
        <w:t xml:space="preserve">values in </w:t>
      </w:r>
      <w:r w:rsidR="00207A50">
        <w:rPr>
          <w:rFonts w:eastAsia="Arial Unicode MS" w:cs="Arial" w:hint="eastAsia"/>
          <w:kern w:val="2"/>
          <w:szCs w:val="20"/>
        </w:rPr>
        <w:t>the set. Then</w:t>
      </w:r>
      <w:r w:rsidRPr="00207A50">
        <w:rPr>
          <w:rFonts w:eastAsia="Arial Unicode MS" w:cs="Arial" w:hint="eastAsia"/>
          <w:kern w:val="2"/>
          <w:szCs w:val="20"/>
        </w:rPr>
        <w:t xml:space="preserve"> the HARQ-ACK codebook size can be determined by the number of </w:t>
      </w:r>
      <w:r w:rsidR="00207A50">
        <w:rPr>
          <w:rFonts w:eastAsia="Arial Unicode MS" w:cs="Arial" w:hint="eastAsia"/>
          <w:kern w:val="2"/>
          <w:szCs w:val="20"/>
        </w:rPr>
        <w:t>slots of each CC</w:t>
      </w:r>
      <w:r w:rsidR="00207A50" w:rsidRPr="00207A50">
        <w:rPr>
          <w:rFonts w:eastAsia="Arial Unicode MS" w:cs="Arial"/>
          <w:kern w:val="2"/>
          <w:szCs w:val="20"/>
        </w:rPr>
        <w:t xml:space="preserve"> </w:t>
      </w:r>
      <w:r w:rsidRPr="00207A50">
        <w:rPr>
          <w:rFonts w:eastAsia="Arial Unicode MS" w:cs="Arial" w:hint="eastAsia"/>
          <w:kern w:val="2"/>
          <w:szCs w:val="20"/>
        </w:rPr>
        <w:t>and number of CCs.</w:t>
      </w:r>
      <w:r>
        <w:rPr>
          <w:rFonts w:eastAsia="Arial Unicode MS" w:cs="Arial" w:hint="eastAsia"/>
          <w:kern w:val="2"/>
          <w:szCs w:val="20"/>
        </w:rPr>
        <w:t xml:space="preserve"> </w:t>
      </w:r>
    </w:p>
    <w:p w:rsidR="00B85FA4" w:rsidRDefault="00986879" w:rsidP="002B6A52">
      <w:pPr>
        <w:spacing w:afterLines="50"/>
        <w:jc w:val="both"/>
        <w:rPr>
          <w:rFonts w:eastAsia="Arial Unicode MS" w:cs="Arial"/>
          <w:kern w:val="2"/>
          <w:szCs w:val="20"/>
        </w:rPr>
      </w:pPr>
      <w:r>
        <w:rPr>
          <w:rFonts w:eastAsia="Arial Unicode MS" w:cs="Arial" w:hint="eastAsia"/>
          <w:kern w:val="2"/>
          <w:szCs w:val="20"/>
        </w:rPr>
        <w:t xml:space="preserve">As </w:t>
      </w:r>
      <w:r w:rsidRPr="00DB1CE0">
        <w:rPr>
          <w:rFonts w:eastAsia="Arial Unicode MS" w:cs="Arial"/>
          <w:kern w:val="2"/>
          <w:szCs w:val="20"/>
        </w:rPr>
        <w:t>analyze</w:t>
      </w:r>
      <w:r>
        <w:rPr>
          <w:rFonts w:eastAsia="Arial Unicode MS" w:cs="Arial" w:hint="eastAsia"/>
          <w:kern w:val="2"/>
          <w:szCs w:val="20"/>
        </w:rPr>
        <w:t xml:space="preserve">d above, </w:t>
      </w:r>
      <w:r>
        <w:rPr>
          <w:rFonts w:hint="eastAsia"/>
        </w:rPr>
        <w:t>s</w:t>
      </w:r>
      <w:r w:rsidRPr="009E1934">
        <w:rPr>
          <w:rFonts w:hint="eastAsia"/>
        </w:rPr>
        <w:t xml:space="preserve">emi-static HARQ-ACK codebook for </w:t>
      </w:r>
      <w:r>
        <w:rPr>
          <w:rFonts w:hint="eastAsia"/>
        </w:rPr>
        <w:t xml:space="preserve">different </w:t>
      </w:r>
      <w:r>
        <w:t>numerology</w:t>
      </w:r>
      <w:r>
        <w:rPr>
          <w:rFonts w:hint="eastAsia"/>
        </w:rPr>
        <w:t xml:space="preserve"> in one PUCCH group</w:t>
      </w:r>
      <w:r w:rsidRPr="00A21D06">
        <w:rPr>
          <w:rFonts w:eastAsia="Arial Unicode MS" w:cs="Arial" w:hint="eastAsia"/>
          <w:kern w:val="2"/>
          <w:szCs w:val="20"/>
        </w:rPr>
        <w:t xml:space="preserve"> </w:t>
      </w:r>
      <w:r>
        <w:rPr>
          <w:rFonts w:eastAsia="Arial Unicode MS" w:cs="Arial" w:hint="eastAsia"/>
          <w:kern w:val="2"/>
          <w:szCs w:val="20"/>
        </w:rPr>
        <w:t xml:space="preserve">can also be used in NR. </w:t>
      </w:r>
    </w:p>
    <w:p w:rsidR="00B85FA4" w:rsidRDefault="00381ADE" w:rsidP="00B85FA4">
      <w:pPr>
        <w:spacing w:after="50"/>
        <w:jc w:val="both"/>
        <w:rPr>
          <w:b/>
          <w:i/>
        </w:rPr>
      </w:pPr>
      <w:bookmarkStart w:id="12" w:name="OLE_LINK35"/>
      <w:r>
        <w:rPr>
          <w:b/>
          <w:i/>
        </w:rPr>
        <w:t>O</w:t>
      </w:r>
      <w:r>
        <w:rPr>
          <w:rFonts w:hint="eastAsia"/>
          <w:b/>
          <w:i/>
        </w:rPr>
        <w:t>bservation</w:t>
      </w:r>
      <w:r w:rsidR="00FB007F">
        <w:rPr>
          <w:rFonts w:hint="eastAsia"/>
          <w:b/>
          <w:i/>
        </w:rPr>
        <w:t>2</w:t>
      </w:r>
      <w:r>
        <w:rPr>
          <w:rFonts w:hint="eastAsia"/>
          <w:b/>
          <w:i/>
        </w:rPr>
        <w:t xml:space="preserve">: </w:t>
      </w:r>
      <w:r w:rsidR="000154C5">
        <w:rPr>
          <w:rFonts w:hint="eastAsia"/>
          <w:b/>
          <w:i/>
        </w:rPr>
        <w:t>E</w:t>
      </w:r>
      <w:r w:rsidR="00207A50">
        <w:rPr>
          <w:rFonts w:hint="eastAsia"/>
          <w:b/>
          <w:i/>
        </w:rPr>
        <w:t>ven</w:t>
      </w:r>
      <w:r w:rsidR="000154C5">
        <w:rPr>
          <w:rFonts w:hint="eastAsia"/>
          <w:b/>
          <w:i/>
        </w:rPr>
        <w:t xml:space="preserve"> if</w:t>
      </w:r>
      <w:r w:rsidR="00207A50">
        <w:rPr>
          <w:rFonts w:hint="eastAsia"/>
          <w:b/>
          <w:i/>
        </w:rPr>
        <w:t xml:space="preserve"> CBG and </w:t>
      </w:r>
      <w:r w:rsidR="00207A50" w:rsidRPr="00207A50">
        <w:rPr>
          <w:b/>
          <w:i/>
        </w:rPr>
        <w:t>dynamic</w:t>
      </w:r>
      <w:r w:rsidR="00207A50" w:rsidRPr="00207A50">
        <w:rPr>
          <w:rFonts w:hint="eastAsia"/>
          <w:b/>
          <w:i/>
        </w:rPr>
        <w:t xml:space="preserve"> </w:t>
      </w:r>
      <w:r w:rsidR="00207A50">
        <w:rPr>
          <w:rFonts w:hint="eastAsia"/>
          <w:b/>
          <w:i/>
        </w:rPr>
        <w:t xml:space="preserve">timing </w:t>
      </w:r>
      <w:r w:rsidR="00F45382">
        <w:rPr>
          <w:rFonts w:hint="eastAsia"/>
          <w:b/>
          <w:i/>
        </w:rPr>
        <w:t>indication</w:t>
      </w:r>
      <w:r w:rsidR="00207A50">
        <w:rPr>
          <w:rFonts w:hint="eastAsia"/>
          <w:b/>
          <w:i/>
        </w:rPr>
        <w:t xml:space="preserve"> </w:t>
      </w:r>
      <w:r w:rsidR="00F45382">
        <w:rPr>
          <w:rFonts w:hint="eastAsia"/>
          <w:b/>
          <w:i/>
        </w:rPr>
        <w:t xml:space="preserve">are </w:t>
      </w:r>
      <w:r w:rsidR="00F45382">
        <w:rPr>
          <w:b/>
          <w:i/>
        </w:rPr>
        <w:t>configured</w:t>
      </w:r>
      <w:r w:rsidR="00F45382">
        <w:rPr>
          <w:rFonts w:hint="eastAsia"/>
          <w:b/>
          <w:i/>
        </w:rPr>
        <w:t xml:space="preserve">, </w:t>
      </w:r>
      <w:r w:rsidR="00207A50">
        <w:rPr>
          <w:rFonts w:hint="eastAsia"/>
          <w:b/>
          <w:i/>
        </w:rPr>
        <w:t xml:space="preserve">the </w:t>
      </w:r>
      <w:r w:rsidR="00207A50" w:rsidRPr="00207A50">
        <w:rPr>
          <w:rFonts w:hint="eastAsia"/>
          <w:b/>
          <w:i/>
        </w:rPr>
        <w:t xml:space="preserve">semi-static HARQ-ACK codebook for different </w:t>
      </w:r>
      <w:r w:rsidR="00207A50" w:rsidRPr="00207A50">
        <w:rPr>
          <w:b/>
          <w:i/>
        </w:rPr>
        <w:t>numerology</w:t>
      </w:r>
      <w:r w:rsidR="00207A50" w:rsidRPr="00207A50">
        <w:rPr>
          <w:rFonts w:hint="eastAsia"/>
          <w:b/>
          <w:i/>
        </w:rPr>
        <w:t xml:space="preserve"> in one PUCCH group can also be used</w:t>
      </w:r>
      <w:r>
        <w:rPr>
          <w:rFonts w:hint="eastAsia"/>
          <w:b/>
          <w:i/>
        </w:rPr>
        <w:t>.</w:t>
      </w:r>
    </w:p>
    <w:bookmarkEnd w:id="12"/>
    <w:p w:rsidR="00986879" w:rsidRPr="00986879" w:rsidRDefault="00986879" w:rsidP="00986879">
      <w:pPr>
        <w:widowControl w:val="0"/>
        <w:numPr>
          <w:ilvl w:val="0"/>
          <w:numId w:val="33"/>
        </w:numPr>
        <w:adjustRightInd/>
        <w:spacing w:before="120" w:after="120" w:line="240" w:lineRule="auto"/>
        <w:ind w:left="426" w:hanging="426"/>
        <w:jc w:val="both"/>
        <w:rPr>
          <w:b/>
        </w:rPr>
      </w:pPr>
      <w:r w:rsidRPr="00986879">
        <w:rPr>
          <w:rFonts w:hint="eastAsia"/>
          <w:b/>
        </w:rPr>
        <w:t xml:space="preserve">Dynamic HARQ-ACK codebook </w:t>
      </w:r>
      <w:r w:rsidR="00381ADE">
        <w:rPr>
          <w:rFonts w:hint="eastAsia"/>
          <w:b/>
        </w:rPr>
        <w:t>when there is UL GRANT</w:t>
      </w:r>
    </w:p>
    <w:p w:rsidR="00986879" w:rsidRDefault="00986879" w:rsidP="00986879">
      <w:pPr>
        <w:widowControl w:val="0"/>
        <w:spacing w:before="120" w:after="120" w:line="240" w:lineRule="auto"/>
      </w:pPr>
      <w:r>
        <w:rPr>
          <w:rFonts w:hint="eastAsia"/>
        </w:rPr>
        <w:t xml:space="preserve">As </w:t>
      </w:r>
      <w:r w:rsidR="00FB007F">
        <w:rPr>
          <w:rFonts w:hint="eastAsia"/>
        </w:rPr>
        <w:t>agreed in RAN1#90bis</w:t>
      </w:r>
      <w:r>
        <w:rPr>
          <w:rFonts w:hint="eastAsia"/>
        </w:rPr>
        <w:t xml:space="preserve"> [1], the issue on how to hand </w:t>
      </w:r>
      <w:r w:rsidRPr="00112539">
        <w:rPr>
          <w:szCs w:val="20"/>
        </w:rPr>
        <w:t>DL assignments later than UL grant</w:t>
      </w:r>
      <w:r>
        <w:rPr>
          <w:rFonts w:hint="eastAsia"/>
          <w:szCs w:val="20"/>
        </w:rPr>
        <w:t xml:space="preserve"> will not be considered in Rel-15. </w:t>
      </w:r>
    </w:p>
    <w:tbl>
      <w:tblPr>
        <w:tblStyle w:val="TableGrid"/>
        <w:tblW w:w="9072" w:type="dxa"/>
        <w:tblInd w:w="108" w:type="dxa"/>
        <w:tblLook w:val="04A0"/>
      </w:tblPr>
      <w:tblGrid>
        <w:gridCol w:w="9072"/>
      </w:tblGrid>
      <w:tr w:rsidR="00986879" w:rsidTr="004C36AE">
        <w:tc>
          <w:tcPr>
            <w:tcW w:w="9072" w:type="dxa"/>
          </w:tcPr>
          <w:p w:rsidR="00986879" w:rsidRPr="00112539" w:rsidRDefault="00986879" w:rsidP="004C36AE">
            <w:pPr>
              <w:rPr>
                <w:szCs w:val="20"/>
              </w:rPr>
            </w:pPr>
            <w:r w:rsidRPr="00112539">
              <w:rPr>
                <w:szCs w:val="20"/>
                <w:highlight w:val="green"/>
              </w:rPr>
              <w:t>Agreements</w:t>
            </w:r>
            <w:r w:rsidRPr="00112539">
              <w:rPr>
                <w:szCs w:val="20"/>
              </w:rPr>
              <w:t>:</w:t>
            </w:r>
          </w:p>
          <w:p w:rsidR="00986879" w:rsidRPr="00112539" w:rsidRDefault="00986879" w:rsidP="00986879">
            <w:pPr>
              <w:numPr>
                <w:ilvl w:val="0"/>
                <w:numId w:val="34"/>
              </w:numPr>
              <w:adjustRightInd/>
              <w:spacing w:line="240" w:lineRule="auto"/>
              <w:rPr>
                <w:szCs w:val="20"/>
              </w:rPr>
            </w:pPr>
            <w:r w:rsidRPr="00112539">
              <w:rPr>
                <w:szCs w:val="20"/>
              </w:rPr>
              <w:t>Regarding handling the possibility of DL assignments later than UL grant, to down-select between:</w:t>
            </w:r>
          </w:p>
          <w:p w:rsidR="00986879" w:rsidRPr="00112539" w:rsidRDefault="00986879" w:rsidP="00986879">
            <w:pPr>
              <w:numPr>
                <w:ilvl w:val="1"/>
                <w:numId w:val="34"/>
              </w:numPr>
              <w:adjustRightInd/>
              <w:spacing w:line="240" w:lineRule="auto"/>
              <w:rPr>
                <w:szCs w:val="20"/>
              </w:rPr>
            </w:pPr>
            <w:r w:rsidRPr="00112539">
              <w:rPr>
                <w:szCs w:val="20"/>
              </w:rPr>
              <w:t>Alt 1: Limit to up to X ACK bits for later DL assignments. ACK bits for later DL assignments puncture PUSCH</w:t>
            </w:r>
          </w:p>
          <w:p w:rsidR="00986879" w:rsidRPr="00112539" w:rsidRDefault="00986879" w:rsidP="00986879">
            <w:pPr>
              <w:numPr>
                <w:ilvl w:val="2"/>
                <w:numId w:val="34"/>
              </w:numPr>
              <w:adjustRightInd/>
              <w:spacing w:line="240" w:lineRule="auto"/>
              <w:rPr>
                <w:szCs w:val="20"/>
              </w:rPr>
            </w:pPr>
            <w:r w:rsidRPr="00112539">
              <w:rPr>
                <w:szCs w:val="20"/>
              </w:rPr>
              <w:t>X=2 for slot-based scheduling</w:t>
            </w:r>
          </w:p>
          <w:p w:rsidR="00986879" w:rsidRPr="00112539" w:rsidRDefault="00986879" w:rsidP="00986879">
            <w:pPr>
              <w:numPr>
                <w:ilvl w:val="2"/>
                <w:numId w:val="34"/>
              </w:numPr>
              <w:adjustRightInd/>
              <w:spacing w:line="240" w:lineRule="auto"/>
              <w:rPr>
                <w:szCs w:val="20"/>
              </w:rPr>
            </w:pPr>
            <w:r w:rsidRPr="00112539">
              <w:rPr>
                <w:szCs w:val="20"/>
              </w:rPr>
              <w:t>FFS X for non-slot based scheduling</w:t>
            </w:r>
          </w:p>
          <w:p w:rsidR="00986879" w:rsidRPr="00112539" w:rsidRDefault="00986879" w:rsidP="00986879">
            <w:pPr>
              <w:numPr>
                <w:ilvl w:val="1"/>
                <w:numId w:val="34"/>
              </w:numPr>
              <w:adjustRightInd/>
              <w:spacing w:line="240" w:lineRule="auto"/>
              <w:rPr>
                <w:szCs w:val="20"/>
              </w:rPr>
            </w:pPr>
            <w:r w:rsidRPr="00112539">
              <w:rPr>
                <w:szCs w:val="20"/>
              </w:rPr>
              <w:t xml:space="preserve">Alt 2: Uplink grant indicates number of ACK/NACK bits including past and estimated future DL assignments. UE computes ACK/NACK resources based on indicated number of ACK/NACK bits </w:t>
            </w:r>
          </w:p>
          <w:p w:rsidR="00986879" w:rsidRPr="00112539" w:rsidRDefault="00986879" w:rsidP="00986879">
            <w:pPr>
              <w:numPr>
                <w:ilvl w:val="2"/>
                <w:numId w:val="34"/>
              </w:numPr>
              <w:adjustRightInd/>
              <w:spacing w:line="240" w:lineRule="auto"/>
              <w:rPr>
                <w:szCs w:val="20"/>
              </w:rPr>
            </w:pPr>
            <w:r w:rsidRPr="00112539">
              <w:rPr>
                <w:szCs w:val="20"/>
              </w:rPr>
              <w:t>FFS other details</w:t>
            </w:r>
          </w:p>
          <w:p w:rsidR="00986879" w:rsidRPr="00112539" w:rsidRDefault="00986879" w:rsidP="00986879">
            <w:pPr>
              <w:numPr>
                <w:ilvl w:val="0"/>
                <w:numId w:val="34"/>
              </w:numPr>
              <w:adjustRightInd/>
              <w:spacing w:line="240" w:lineRule="auto"/>
              <w:rPr>
                <w:szCs w:val="20"/>
              </w:rPr>
            </w:pPr>
            <w:r w:rsidRPr="00112539">
              <w:rPr>
                <w:szCs w:val="20"/>
              </w:rPr>
              <w:t>If no consensus can be achieved by the end of this week, the following will be agreed:</w:t>
            </w:r>
          </w:p>
          <w:p w:rsidR="00986879" w:rsidRPr="004D40C9" w:rsidRDefault="00986879" w:rsidP="00986879">
            <w:pPr>
              <w:numPr>
                <w:ilvl w:val="1"/>
                <w:numId w:val="34"/>
              </w:numPr>
              <w:adjustRightInd/>
              <w:spacing w:line="240" w:lineRule="auto"/>
            </w:pPr>
            <w:r w:rsidRPr="00112539">
              <w:rPr>
                <w:szCs w:val="20"/>
              </w:rPr>
              <w:t xml:space="preserve">In Rel-15, do not support the case when DL assignments are later than UL grant mapped to </w:t>
            </w:r>
            <w:r w:rsidRPr="00112539">
              <w:rPr>
                <w:szCs w:val="20"/>
              </w:rPr>
              <w:lastRenderedPageBreak/>
              <w:t>the same time instance for HARQ-ACK transmission on PUSCH</w:t>
            </w:r>
          </w:p>
        </w:tc>
      </w:tr>
    </w:tbl>
    <w:p w:rsidR="00986879" w:rsidRDefault="00FB007F" w:rsidP="00986879">
      <w:pPr>
        <w:widowControl w:val="0"/>
        <w:spacing w:before="120" w:after="120" w:line="240" w:lineRule="auto"/>
        <w:jc w:val="both"/>
      </w:pPr>
      <w:r>
        <w:rPr>
          <w:rFonts w:hint="eastAsia"/>
        </w:rPr>
        <w:lastRenderedPageBreak/>
        <w:t>This agreement is also applicable to CA case.</w:t>
      </w:r>
      <w:r w:rsidR="00986879">
        <w:rPr>
          <w:rFonts w:hint="eastAsia"/>
        </w:rPr>
        <w:t xml:space="preserve"> So</w:t>
      </w:r>
      <w:r w:rsidR="00FA5505">
        <w:rPr>
          <w:rFonts w:hint="eastAsia"/>
        </w:rPr>
        <w:t xml:space="preserve"> </w:t>
      </w:r>
      <w:r w:rsidR="00F21CC4">
        <w:rPr>
          <w:rFonts w:hint="eastAsia"/>
        </w:rPr>
        <w:t>the mechanism</w:t>
      </w:r>
      <w:r w:rsidR="002D5584">
        <w:rPr>
          <w:rFonts w:hint="eastAsia"/>
        </w:rPr>
        <w:t xml:space="preserve"> similar</w:t>
      </w:r>
      <w:r w:rsidR="00F21CC4">
        <w:rPr>
          <w:rFonts w:hint="eastAsia"/>
        </w:rPr>
        <w:t xml:space="preserve"> to LTE</w:t>
      </w:r>
      <w:r w:rsidR="002D5584">
        <w:rPr>
          <w:rFonts w:hint="eastAsia"/>
        </w:rPr>
        <w:t xml:space="preserve"> can be used</w:t>
      </w:r>
      <w:r w:rsidR="00986879">
        <w:rPr>
          <w:rFonts w:hint="eastAsia"/>
        </w:rPr>
        <w:t>.</w:t>
      </w:r>
      <w:r w:rsidR="00207A50">
        <w:rPr>
          <w:rFonts w:hint="eastAsia"/>
        </w:rPr>
        <w:t>, i.e. containing counter DAI in each PDCCH with DL assignment, and carrying total DAI in the PDCCH with UL GRANT</w:t>
      </w:r>
      <w:r w:rsidR="00986879">
        <w:rPr>
          <w:rFonts w:hint="eastAsia"/>
        </w:rPr>
        <w:t>. A</w:t>
      </w:r>
      <w:r w:rsidR="00986879" w:rsidRPr="00E42A14">
        <w:t>s ong as</w:t>
      </w:r>
      <w:r w:rsidR="00986879">
        <w:rPr>
          <w:rFonts w:hint="eastAsia"/>
        </w:rPr>
        <w:t xml:space="preserve"> UL </w:t>
      </w:r>
      <w:r w:rsidR="00207A50">
        <w:rPr>
          <w:rFonts w:hint="eastAsia"/>
        </w:rPr>
        <w:t xml:space="preserve">GRANT </w:t>
      </w:r>
      <w:r w:rsidR="00986879">
        <w:rPr>
          <w:rFonts w:hint="eastAsia"/>
        </w:rPr>
        <w:t xml:space="preserve">together with total DAI </w:t>
      </w:r>
      <w:r>
        <w:rPr>
          <w:rFonts w:hint="eastAsia"/>
        </w:rPr>
        <w:t xml:space="preserve">is </w:t>
      </w:r>
      <w:r w:rsidR="00FA5505">
        <w:rPr>
          <w:rFonts w:hint="eastAsia"/>
        </w:rPr>
        <w:t>received</w:t>
      </w:r>
      <w:r w:rsidR="00986879" w:rsidRPr="00E42A14">
        <w:rPr>
          <w:rFonts w:hint="eastAsia"/>
        </w:rPr>
        <w:t xml:space="preserve">, the </w:t>
      </w:r>
      <w:r>
        <w:rPr>
          <w:rFonts w:hint="eastAsia"/>
        </w:rPr>
        <w:t xml:space="preserve">dynamic </w:t>
      </w:r>
      <w:r w:rsidR="00986879" w:rsidRPr="00E42A14">
        <w:rPr>
          <w:rFonts w:hint="eastAsia"/>
        </w:rPr>
        <w:t xml:space="preserve">HARQ-ACK codebook will be determined, and any further DL </w:t>
      </w:r>
      <w:r w:rsidR="00F26060" w:rsidRPr="00E42A14">
        <w:t>a</w:t>
      </w:r>
      <w:r w:rsidR="00F26060">
        <w:t>s</w:t>
      </w:r>
      <w:r w:rsidR="00F26060" w:rsidRPr="00E42A14">
        <w:t>signments</w:t>
      </w:r>
      <w:r w:rsidR="00986879" w:rsidRPr="00E42A14">
        <w:rPr>
          <w:rFonts w:hint="eastAsia"/>
        </w:rPr>
        <w:t xml:space="preserve"> corresponding to current feedback slot will be blocked. </w:t>
      </w:r>
    </w:p>
    <w:p w:rsidR="00986879" w:rsidRDefault="005069EC" w:rsidP="00986879">
      <w:pPr>
        <w:widowControl w:val="0"/>
        <w:spacing w:before="120" w:after="120" w:line="240" w:lineRule="auto"/>
        <w:jc w:val="both"/>
      </w:pPr>
      <w:r>
        <w:fldChar w:fldCharType="begin"/>
      </w:r>
      <w:r w:rsidR="002D5584">
        <w:instrText xml:space="preserve"> </w:instrText>
      </w:r>
      <w:r w:rsidR="002D5584">
        <w:rPr>
          <w:rFonts w:hint="eastAsia"/>
        </w:rPr>
        <w:instrText>REF _Ref498717501 \h</w:instrText>
      </w:r>
      <w:r w:rsidR="002D5584">
        <w:instrText xml:space="preserve"> </w:instrText>
      </w:r>
      <w:r>
        <w:fldChar w:fldCharType="separate"/>
      </w:r>
      <w:r w:rsidR="002D5584">
        <w:t>Fig 2</w:t>
      </w:r>
      <w:r>
        <w:fldChar w:fldCharType="end"/>
      </w:r>
      <w:r w:rsidR="00986879">
        <w:rPr>
          <w:rFonts w:hint="eastAsia"/>
        </w:rPr>
        <w:t xml:space="preserve"> gives an example of d</w:t>
      </w:r>
      <w:r w:rsidR="00986879" w:rsidRPr="004D40C9">
        <w:rPr>
          <w:rFonts w:hint="eastAsia"/>
        </w:rPr>
        <w:t xml:space="preserve">ynamic </w:t>
      </w:r>
      <w:r w:rsidR="00986879" w:rsidRPr="009E1934">
        <w:rPr>
          <w:rFonts w:hint="eastAsia"/>
        </w:rPr>
        <w:t xml:space="preserve">HARQ-ACK codebook for </w:t>
      </w:r>
      <w:r w:rsidR="00986879">
        <w:rPr>
          <w:rFonts w:hint="eastAsia"/>
        </w:rPr>
        <w:t xml:space="preserve">different </w:t>
      </w:r>
      <w:r w:rsidR="00986879">
        <w:t>numerology</w:t>
      </w:r>
      <w:r w:rsidR="00986879">
        <w:rPr>
          <w:rFonts w:hint="eastAsia"/>
        </w:rPr>
        <w:t xml:space="preserve"> in one PUCCH group. Different </w:t>
      </w:r>
      <w:r w:rsidR="00292061">
        <w:rPr>
          <w:rFonts w:hint="eastAsia"/>
        </w:rPr>
        <w:t>from</w:t>
      </w:r>
      <w:r w:rsidR="00986879">
        <w:rPr>
          <w:rFonts w:hint="eastAsia"/>
        </w:rPr>
        <w:t xml:space="preserve"> LTE, PDCCH monitoring occasions </w:t>
      </w:r>
      <w:r w:rsidR="00FA5505">
        <w:rPr>
          <w:rFonts w:hint="eastAsia"/>
        </w:rPr>
        <w:t>for each CC may be different due to different TTI length. And UE can monitor PDCCH bas</w:t>
      </w:r>
      <w:r w:rsidR="00FB007F">
        <w:rPr>
          <w:rFonts w:hint="eastAsia"/>
        </w:rPr>
        <w:t xml:space="preserve">ed </w:t>
      </w:r>
      <w:r w:rsidR="00FA5505">
        <w:rPr>
          <w:rFonts w:hint="eastAsia"/>
        </w:rPr>
        <w:t>on configuration for each CC.</w:t>
      </w:r>
      <w:r w:rsidR="00FA5505" w:rsidRPr="00FA5505">
        <w:rPr>
          <w:rFonts w:hint="eastAsia"/>
        </w:rPr>
        <w:t xml:space="preserve"> </w:t>
      </w:r>
      <w:r w:rsidR="00986879">
        <w:rPr>
          <w:rFonts w:hint="eastAsia"/>
        </w:rPr>
        <w:t xml:space="preserve">The </w:t>
      </w:r>
      <w:r w:rsidR="00FA5505">
        <w:rPr>
          <w:rFonts w:hint="eastAsia"/>
        </w:rPr>
        <w:t xml:space="preserve">counter </w:t>
      </w:r>
      <w:r w:rsidR="00986879">
        <w:rPr>
          <w:rFonts w:hint="eastAsia"/>
        </w:rPr>
        <w:t xml:space="preserve">DAI will </w:t>
      </w:r>
      <w:r w:rsidR="00986879" w:rsidRPr="00F23464">
        <w:t>follow</w:t>
      </w:r>
      <w:r w:rsidR="00986879" w:rsidRPr="00F23464">
        <w:rPr>
          <w:rFonts w:hint="eastAsia"/>
        </w:rPr>
        <w:t xml:space="preserve"> </w:t>
      </w:r>
      <w:r w:rsidR="00986879">
        <w:rPr>
          <w:rFonts w:hint="eastAsia"/>
        </w:rPr>
        <w:t xml:space="preserve">the </w:t>
      </w:r>
      <w:r w:rsidR="00986879" w:rsidRPr="00F23464">
        <w:t>principle of</w:t>
      </w:r>
      <w:r w:rsidR="00986879">
        <w:rPr>
          <w:rFonts w:hint="eastAsia"/>
        </w:rPr>
        <w:t xml:space="preserve"> '</w:t>
      </w:r>
      <w:r w:rsidR="00986879" w:rsidRPr="00F23464">
        <w:rPr>
          <w:rFonts w:hint="eastAsia"/>
        </w:rPr>
        <w:t>frequency first</w:t>
      </w:r>
      <w:r w:rsidR="00986879">
        <w:rPr>
          <w:rFonts w:hint="eastAsia"/>
        </w:rPr>
        <w:t>'</w:t>
      </w:r>
      <w:r w:rsidR="00F26060">
        <w:rPr>
          <w:rFonts w:hint="eastAsia"/>
        </w:rPr>
        <w:t>.</w:t>
      </w:r>
    </w:p>
    <w:p w:rsidR="00986879" w:rsidRPr="004D40C9" w:rsidRDefault="00986879" w:rsidP="00986879">
      <w:pPr>
        <w:widowControl w:val="0"/>
        <w:spacing w:before="120" w:after="120" w:line="240" w:lineRule="auto"/>
        <w:jc w:val="both"/>
      </w:pPr>
      <w:r>
        <w:rPr>
          <w:rFonts w:hint="eastAsia"/>
        </w:rPr>
        <w:t xml:space="preserve">It </w:t>
      </w:r>
      <w:r w:rsidR="00F276B1">
        <w:rPr>
          <w:rFonts w:hint="eastAsia"/>
        </w:rPr>
        <w:t>is</w:t>
      </w:r>
      <w:r>
        <w:rPr>
          <w:rFonts w:hint="eastAsia"/>
        </w:rPr>
        <w:t xml:space="preserve"> not</w:t>
      </w:r>
      <w:r w:rsidR="00F276B1">
        <w:rPr>
          <w:rFonts w:hint="eastAsia"/>
        </w:rPr>
        <w:t>ed</w:t>
      </w:r>
      <w:r>
        <w:rPr>
          <w:rFonts w:hint="eastAsia"/>
        </w:rPr>
        <w:t xml:space="preserve"> that </w:t>
      </w:r>
      <w:r w:rsidR="00FB007F">
        <w:rPr>
          <w:rFonts w:hint="eastAsia"/>
        </w:rPr>
        <w:t xml:space="preserve">PDSCH scheduling in </w:t>
      </w:r>
      <w:r>
        <w:rPr>
          <w:rFonts w:hint="eastAsia"/>
        </w:rPr>
        <w:t xml:space="preserve">the last </w:t>
      </w:r>
      <w:r w:rsidR="00FB007F">
        <w:rPr>
          <w:rFonts w:hint="eastAsia"/>
        </w:rPr>
        <w:t xml:space="preserve">several </w:t>
      </w:r>
      <w:r>
        <w:rPr>
          <w:rFonts w:hint="eastAsia"/>
        </w:rPr>
        <w:t xml:space="preserve">slots </w:t>
      </w:r>
      <w:r w:rsidR="00FB007F">
        <w:rPr>
          <w:rFonts w:hint="eastAsia"/>
        </w:rPr>
        <w:t>behind UL GRANT in the bundling window</w:t>
      </w:r>
      <w:r>
        <w:rPr>
          <w:rFonts w:hint="eastAsia"/>
        </w:rPr>
        <w:t xml:space="preserve"> will be </w:t>
      </w:r>
      <w:r w:rsidRPr="00F23464">
        <w:t>forbid</w:t>
      </w:r>
      <w:r>
        <w:rPr>
          <w:rFonts w:hint="eastAsia"/>
        </w:rPr>
        <w:t>den</w:t>
      </w:r>
      <w:r w:rsidRPr="00F23464">
        <w:rPr>
          <w:rFonts w:hint="eastAsia"/>
        </w:rPr>
        <w:t xml:space="preserve"> </w:t>
      </w:r>
      <w:r w:rsidR="00FA5505">
        <w:rPr>
          <w:rFonts w:hint="eastAsia"/>
        </w:rPr>
        <w:t>at least in Rel-15</w:t>
      </w:r>
      <w:r w:rsidR="00FB007F">
        <w:rPr>
          <w:rFonts w:hint="eastAsia"/>
        </w:rPr>
        <w:t xml:space="preserve"> according to above agreement</w:t>
      </w:r>
      <w:r>
        <w:rPr>
          <w:rFonts w:hint="eastAsia"/>
        </w:rPr>
        <w:t xml:space="preserve">. </w:t>
      </w:r>
    </w:p>
    <w:p w:rsidR="00511378" w:rsidRDefault="005F7310">
      <w:pPr>
        <w:keepNext/>
        <w:widowControl w:val="0"/>
        <w:spacing w:before="120" w:line="0" w:lineRule="atLeast"/>
        <w:jc w:val="center"/>
      </w:pPr>
      <w:r>
        <w:object w:dxaOrig="10725" w:dyaOrig="5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1pt;height:197.65pt" o:ole="">
            <v:imagedata r:id="rId11" o:title=""/>
          </v:shape>
          <o:OLEObject Type="Embed" ProgID="Visio.Drawing.11" ShapeID="_x0000_i1025" DrawAspect="Content" ObjectID="_1572513255" r:id="rId12"/>
        </w:object>
      </w:r>
    </w:p>
    <w:p w:rsidR="00511378" w:rsidRDefault="00114F67">
      <w:pPr>
        <w:pStyle w:val="Caption"/>
        <w:spacing w:before="0"/>
        <w:jc w:val="center"/>
        <w:rPr>
          <w:lang w:eastAsia="zh-CN"/>
        </w:rPr>
      </w:pPr>
      <w:bookmarkStart w:id="13" w:name="_Ref498717501"/>
      <w:r>
        <w:rPr>
          <w:lang w:eastAsia="zh-CN"/>
        </w:rPr>
        <w:t xml:space="preserve">Fig </w:t>
      </w:r>
      <w:r w:rsidR="005069EC">
        <w:rPr>
          <w:lang w:eastAsia="zh-CN"/>
        </w:rPr>
        <w:fldChar w:fldCharType="begin"/>
      </w:r>
      <w:r>
        <w:rPr>
          <w:lang w:eastAsia="zh-CN"/>
        </w:rPr>
        <w:instrText xml:space="preserve"> SEQ Fig \* ARABIC </w:instrText>
      </w:r>
      <w:r w:rsidR="005069EC">
        <w:rPr>
          <w:lang w:eastAsia="zh-CN"/>
        </w:rPr>
        <w:fldChar w:fldCharType="separate"/>
      </w:r>
      <w:r>
        <w:rPr>
          <w:lang w:eastAsia="zh-CN"/>
        </w:rPr>
        <w:t>2</w:t>
      </w:r>
      <w:r w:rsidR="005069EC">
        <w:rPr>
          <w:lang w:eastAsia="zh-CN"/>
        </w:rPr>
        <w:fldChar w:fldCharType="end"/>
      </w:r>
      <w:bookmarkEnd w:id="13"/>
      <w:r w:rsidRPr="00114F67">
        <w:rPr>
          <w:rFonts w:hint="eastAsia"/>
          <w:lang w:eastAsia="zh-CN"/>
        </w:rPr>
        <w:t xml:space="preserve"> </w:t>
      </w:r>
      <w:r>
        <w:rPr>
          <w:rFonts w:hint="eastAsia"/>
          <w:lang w:eastAsia="zh-CN"/>
        </w:rPr>
        <w:t>An example of d</w:t>
      </w:r>
      <w:r w:rsidRPr="004D40C9">
        <w:rPr>
          <w:rFonts w:hint="eastAsia"/>
          <w:lang w:eastAsia="zh-CN"/>
        </w:rPr>
        <w:t xml:space="preserve">ynamic </w:t>
      </w:r>
      <w:r w:rsidRPr="009E1934">
        <w:rPr>
          <w:rFonts w:hint="eastAsia"/>
          <w:lang w:eastAsia="zh-CN"/>
        </w:rPr>
        <w:t xml:space="preserve">HARQ-ACK codebook for </w:t>
      </w:r>
      <w:r>
        <w:rPr>
          <w:rFonts w:hint="eastAsia"/>
          <w:lang w:eastAsia="zh-CN"/>
        </w:rPr>
        <w:t xml:space="preserve">different </w:t>
      </w:r>
      <w:r>
        <w:rPr>
          <w:lang w:eastAsia="zh-CN"/>
        </w:rPr>
        <w:t>numerology</w:t>
      </w:r>
      <w:r>
        <w:rPr>
          <w:rFonts w:hint="eastAsia"/>
          <w:lang w:eastAsia="zh-CN"/>
        </w:rPr>
        <w:t xml:space="preserve"> in one PUCCH group</w:t>
      </w:r>
    </w:p>
    <w:p w:rsidR="002D5584" w:rsidRDefault="002D5584" w:rsidP="00986879">
      <w:pPr>
        <w:spacing w:after="50"/>
        <w:rPr>
          <w:b/>
          <w:i/>
        </w:rPr>
      </w:pPr>
      <w:r>
        <w:rPr>
          <w:b/>
          <w:i/>
        </w:rPr>
        <w:t>O</w:t>
      </w:r>
      <w:r>
        <w:rPr>
          <w:rFonts w:hint="eastAsia"/>
          <w:b/>
          <w:i/>
        </w:rPr>
        <w:t>bservation</w:t>
      </w:r>
      <w:r w:rsidR="00FB007F">
        <w:rPr>
          <w:rFonts w:hint="eastAsia"/>
          <w:b/>
          <w:i/>
        </w:rPr>
        <w:t xml:space="preserve"> 3</w:t>
      </w:r>
      <w:r>
        <w:rPr>
          <w:rFonts w:hint="eastAsia"/>
          <w:b/>
          <w:i/>
        </w:rPr>
        <w:t>:</w:t>
      </w:r>
      <w:r w:rsidR="00FB007F">
        <w:rPr>
          <w:rFonts w:hint="eastAsia"/>
          <w:b/>
          <w:i/>
        </w:rPr>
        <w:t xml:space="preserve"> when there is UL GRANT, </w:t>
      </w:r>
      <w:r w:rsidR="00FA5505" w:rsidRPr="00FA5505">
        <w:rPr>
          <w:rFonts w:hint="eastAsia"/>
          <w:b/>
          <w:i/>
        </w:rPr>
        <w:t>dynamic HARQ-ACK codebook can</w:t>
      </w:r>
      <w:r w:rsidR="00FA5505" w:rsidRPr="00FA5505">
        <w:rPr>
          <w:b/>
          <w:i/>
        </w:rPr>
        <w:t xml:space="preserve"> be </w:t>
      </w:r>
      <w:r w:rsidR="00FB007F">
        <w:rPr>
          <w:rFonts w:hint="eastAsia"/>
          <w:b/>
          <w:i/>
        </w:rPr>
        <w:t>used</w:t>
      </w:r>
      <w:r>
        <w:rPr>
          <w:rFonts w:hint="eastAsia"/>
          <w:b/>
          <w:i/>
        </w:rPr>
        <w:t>.</w:t>
      </w:r>
    </w:p>
    <w:p w:rsidR="000154C5" w:rsidRDefault="000154C5" w:rsidP="000154C5">
      <w:pPr>
        <w:spacing w:after="50"/>
        <w:rPr>
          <w:b/>
          <w:i/>
        </w:rPr>
      </w:pPr>
      <w:bookmarkStart w:id="14" w:name="OLE_LINK1"/>
      <w:r>
        <w:rPr>
          <w:rFonts w:hint="eastAsia"/>
          <w:b/>
          <w:i/>
        </w:rPr>
        <w:t>Proposal</w:t>
      </w:r>
      <w:r w:rsidRPr="00DE785B">
        <w:rPr>
          <w:rFonts w:hint="eastAsia"/>
          <w:b/>
          <w:i/>
        </w:rPr>
        <w:t xml:space="preserve"> </w:t>
      </w:r>
      <w:r>
        <w:rPr>
          <w:rFonts w:hint="eastAsia"/>
          <w:b/>
          <w:i/>
        </w:rPr>
        <w:t>3</w:t>
      </w:r>
      <w:r w:rsidRPr="00DE785B">
        <w:rPr>
          <w:rFonts w:hint="eastAsia"/>
          <w:b/>
          <w:i/>
        </w:rPr>
        <w:t>:</w:t>
      </w:r>
      <w:r>
        <w:rPr>
          <w:rFonts w:hint="eastAsia"/>
          <w:b/>
          <w:i/>
        </w:rPr>
        <w:t xml:space="preserve"> NR </w:t>
      </w:r>
      <w:r w:rsidR="00BF3F8F">
        <w:rPr>
          <w:rFonts w:hint="eastAsia"/>
          <w:b/>
          <w:i/>
        </w:rPr>
        <w:t xml:space="preserve">CA </w:t>
      </w:r>
      <w:r>
        <w:rPr>
          <w:rFonts w:hint="eastAsia"/>
          <w:b/>
          <w:i/>
        </w:rPr>
        <w:t>adopt scheme of codebook determination s</w:t>
      </w:r>
      <w:r w:rsidRPr="00961A30">
        <w:rPr>
          <w:b/>
          <w:i/>
        </w:rPr>
        <w:t>imilar to LTE:</w:t>
      </w:r>
    </w:p>
    <w:p w:rsidR="000154C5" w:rsidRPr="00FA5505" w:rsidRDefault="000154C5" w:rsidP="000154C5">
      <w:pPr>
        <w:pStyle w:val="ListParagraph"/>
        <w:numPr>
          <w:ilvl w:val="0"/>
          <w:numId w:val="35"/>
        </w:numPr>
        <w:spacing w:after="50"/>
        <w:ind w:firstLineChars="0"/>
        <w:rPr>
          <w:b/>
          <w:i/>
        </w:rPr>
      </w:pPr>
      <w:r>
        <w:rPr>
          <w:rFonts w:hint="eastAsia"/>
          <w:b/>
          <w:i/>
        </w:rPr>
        <w:t>S</w:t>
      </w:r>
      <w:r w:rsidRPr="00FA5505">
        <w:rPr>
          <w:rFonts w:hint="eastAsia"/>
          <w:b/>
          <w:i/>
        </w:rPr>
        <w:t>emi-static codebook is used when there is no UL GRANT, and the HARQ-ACK codebook size can be determined by the number of slots of each CC</w:t>
      </w:r>
      <w:r>
        <w:rPr>
          <w:rFonts w:hint="eastAsia"/>
          <w:b/>
          <w:i/>
        </w:rPr>
        <w:t xml:space="preserve">, max </w:t>
      </w:r>
      <w:r>
        <w:rPr>
          <w:b/>
          <w:i/>
        </w:rPr>
        <w:t>number</w:t>
      </w:r>
      <w:r>
        <w:rPr>
          <w:rFonts w:hint="eastAsia"/>
          <w:b/>
          <w:i/>
        </w:rPr>
        <w:t xml:space="preserve"> of CBG </w:t>
      </w:r>
      <w:r w:rsidRPr="00FA5505">
        <w:rPr>
          <w:rFonts w:hint="eastAsia"/>
          <w:b/>
          <w:i/>
        </w:rPr>
        <w:t>and number of CCs.</w:t>
      </w:r>
    </w:p>
    <w:p w:rsidR="00324313" w:rsidRPr="000154C5" w:rsidRDefault="000154C5" w:rsidP="000154C5">
      <w:pPr>
        <w:pStyle w:val="ListParagraph"/>
        <w:numPr>
          <w:ilvl w:val="0"/>
          <w:numId w:val="35"/>
        </w:numPr>
        <w:spacing w:after="50"/>
        <w:ind w:firstLineChars="0"/>
        <w:rPr>
          <w:b/>
          <w:i/>
        </w:rPr>
      </w:pPr>
      <w:r>
        <w:rPr>
          <w:rFonts w:hint="eastAsia"/>
          <w:b/>
          <w:i/>
        </w:rPr>
        <w:t>D</w:t>
      </w:r>
      <w:r w:rsidRPr="00FA5505">
        <w:rPr>
          <w:rFonts w:hint="eastAsia"/>
          <w:b/>
          <w:i/>
        </w:rPr>
        <w:t xml:space="preserve">ynamic codebook is used when there is UL GRANT, and the HARQ-ACK codebook size can be determined by total DAI. </w:t>
      </w:r>
      <w:r w:rsidR="00FA5505" w:rsidRPr="000154C5">
        <w:rPr>
          <w:rFonts w:hint="eastAsia"/>
          <w:b/>
          <w:i/>
        </w:rPr>
        <w:t xml:space="preserve"> </w:t>
      </w:r>
    </w:p>
    <w:bookmarkEnd w:id="14"/>
    <w:p w:rsidR="00056071" w:rsidRPr="003A15B3" w:rsidRDefault="00F1510A" w:rsidP="00056071">
      <w:pPr>
        <w:pStyle w:val="Heading2"/>
        <w:numPr>
          <w:ilvl w:val="0"/>
          <w:numId w:val="12"/>
        </w:numPr>
        <w:spacing w:before="60" w:after="60"/>
        <w:ind w:hanging="644"/>
      </w:pPr>
      <w:r>
        <w:t>Conclusions</w:t>
      </w:r>
    </w:p>
    <w:p w:rsidR="00D93AB8" w:rsidRDefault="00AD5868" w:rsidP="00F410EB">
      <w:pPr>
        <w:rPr>
          <w:b/>
          <w:i/>
        </w:rPr>
      </w:pPr>
      <w:r>
        <w:rPr>
          <w:rFonts w:hint="eastAsia"/>
        </w:rPr>
        <w:t>According to the discussion in this contribution, we have t</w:t>
      </w:r>
      <w:r w:rsidR="00D93AB8">
        <w:t xml:space="preserve">he following </w:t>
      </w:r>
      <w:r>
        <w:t>observations</w:t>
      </w:r>
      <w:r>
        <w:rPr>
          <w:rFonts w:hint="eastAsia"/>
        </w:rPr>
        <w:t>:</w:t>
      </w:r>
    </w:p>
    <w:p w:rsidR="00D163B8" w:rsidRDefault="00D163B8" w:rsidP="00D163B8">
      <w:pPr>
        <w:spacing w:after="50"/>
        <w:rPr>
          <w:b/>
          <w:i/>
        </w:rPr>
      </w:pPr>
      <w:r w:rsidRPr="00DE785B">
        <w:rPr>
          <w:rFonts w:hint="eastAsia"/>
          <w:b/>
          <w:i/>
        </w:rPr>
        <w:t xml:space="preserve">Observation </w:t>
      </w:r>
      <w:r>
        <w:rPr>
          <w:rFonts w:hint="eastAsia"/>
          <w:b/>
          <w:i/>
        </w:rPr>
        <w:t>1</w:t>
      </w:r>
      <w:r w:rsidRPr="00DE785B">
        <w:rPr>
          <w:b/>
          <w:i/>
        </w:rPr>
        <w:t>:</w:t>
      </w:r>
      <w:r>
        <w:rPr>
          <w:b/>
          <w:i/>
        </w:rPr>
        <w:t xml:space="preserve"> using</w:t>
      </w:r>
      <w:r>
        <w:rPr>
          <w:rFonts w:hint="eastAsia"/>
          <w:b/>
          <w:i/>
        </w:rPr>
        <w:t xml:space="preserve"> the same </w:t>
      </w:r>
      <w:r>
        <w:rPr>
          <w:b/>
          <w:i/>
        </w:rPr>
        <w:t>numerology</w:t>
      </w:r>
      <w:r>
        <w:rPr>
          <w:rFonts w:hint="eastAsia"/>
          <w:b/>
          <w:i/>
        </w:rPr>
        <w:t xml:space="preserve"> for inter-band CA will dramatically degrade system </w:t>
      </w:r>
      <w:r>
        <w:rPr>
          <w:b/>
          <w:i/>
        </w:rPr>
        <w:t>performance</w:t>
      </w:r>
      <w:r>
        <w:rPr>
          <w:rFonts w:hint="eastAsia"/>
          <w:b/>
          <w:i/>
        </w:rPr>
        <w:t>.</w:t>
      </w:r>
    </w:p>
    <w:p w:rsidR="00D163B8" w:rsidRDefault="00D163B8" w:rsidP="00D163B8">
      <w:pPr>
        <w:spacing w:after="50"/>
        <w:jc w:val="both"/>
        <w:rPr>
          <w:b/>
          <w:i/>
        </w:rPr>
      </w:pPr>
      <w:r>
        <w:rPr>
          <w:b/>
          <w:i/>
        </w:rPr>
        <w:t>O</w:t>
      </w:r>
      <w:r>
        <w:rPr>
          <w:rFonts w:hint="eastAsia"/>
          <w:b/>
          <w:i/>
        </w:rPr>
        <w:t xml:space="preserve">bservation2: Even if CBG and </w:t>
      </w:r>
      <w:r w:rsidRPr="00207A50">
        <w:rPr>
          <w:b/>
          <w:i/>
        </w:rPr>
        <w:t>dynamic</w:t>
      </w:r>
      <w:r w:rsidRPr="00207A50">
        <w:rPr>
          <w:rFonts w:hint="eastAsia"/>
          <w:b/>
          <w:i/>
        </w:rPr>
        <w:t xml:space="preserve"> </w:t>
      </w:r>
      <w:r>
        <w:rPr>
          <w:rFonts w:hint="eastAsia"/>
          <w:b/>
          <w:i/>
        </w:rPr>
        <w:t xml:space="preserve">timing indication are </w:t>
      </w:r>
      <w:r>
        <w:rPr>
          <w:b/>
          <w:i/>
        </w:rPr>
        <w:t>configured</w:t>
      </w:r>
      <w:r>
        <w:rPr>
          <w:rFonts w:hint="eastAsia"/>
          <w:b/>
          <w:i/>
        </w:rPr>
        <w:t xml:space="preserve">, the </w:t>
      </w:r>
      <w:r w:rsidRPr="00207A50">
        <w:rPr>
          <w:rFonts w:hint="eastAsia"/>
          <w:b/>
          <w:i/>
        </w:rPr>
        <w:t xml:space="preserve">semi-static HARQ-ACK codebook for different </w:t>
      </w:r>
      <w:r w:rsidRPr="00207A50">
        <w:rPr>
          <w:b/>
          <w:i/>
        </w:rPr>
        <w:t>numerology</w:t>
      </w:r>
      <w:r w:rsidRPr="00207A50">
        <w:rPr>
          <w:rFonts w:hint="eastAsia"/>
          <w:b/>
          <w:i/>
        </w:rPr>
        <w:t xml:space="preserve"> in one PUCCH group can also be used</w:t>
      </w:r>
      <w:r>
        <w:rPr>
          <w:rFonts w:hint="eastAsia"/>
          <w:b/>
          <w:i/>
        </w:rPr>
        <w:t>.</w:t>
      </w:r>
    </w:p>
    <w:p w:rsidR="00D163B8" w:rsidRDefault="00D163B8" w:rsidP="00D163B8">
      <w:pPr>
        <w:spacing w:after="50"/>
        <w:rPr>
          <w:b/>
          <w:i/>
        </w:rPr>
      </w:pPr>
      <w:r>
        <w:rPr>
          <w:b/>
          <w:i/>
        </w:rPr>
        <w:t>O</w:t>
      </w:r>
      <w:r>
        <w:rPr>
          <w:rFonts w:hint="eastAsia"/>
          <w:b/>
          <w:i/>
        </w:rPr>
        <w:t xml:space="preserve">bservation 3: when there is UL GRANT, </w:t>
      </w:r>
      <w:r w:rsidRPr="00FA5505">
        <w:rPr>
          <w:rFonts w:hint="eastAsia"/>
          <w:b/>
          <w:i/>
        </w:rPr>
        <w:t>dynamic HARQ-ACK codebook can</w:t>
      </w:r>
      <w:r w:rsidRPr="00FA5505">
        <w:rPr>
          <w:b/>
          <w:i/>
        </w:rPr>
        <w:t xml:space="preserve"> be </w:t>
      </w:r>
      <w:r>
        <w:rPr>
          <w:rFonts w:hint="eastAsia"/>
          <w:b/>
          <w:i/>
        </w:rPr>
        <w:t>used.</w:t>
      </w:r>
    </w:p>
    <w:p w:rsidR="00AD5868" w:rsidRPr="00AD5868" w:rsidRDefault="00AD5868" w:rsidP="00AD5868">
      <w:r w:rsidRPr="00AD5868">
        <w:rPr>
          <w:rFonts w:hint="eastAsia"/>
        </w:rPr>
        <w:lastRenderedPageBreak/>
        <w:t>Based on the observation, we have the following proposals</w:t>
      </w:r>
    </w:p>
    <w:p w:rsidR="00AD5868" w:rsidRDefault="00AD5868" w:rsidP="00AD5868">
      <w:pPr>
        <w:spacing w:after="50"/>
        <w:rPr>
          <w:b/>
          <w:i/>
        </w:rPr>
      </w:pPr>
      <w:r>
        <w:rPr>
          <w:rFonts w:hint="eastAsia"/>
          <w:b/>
          <w:i/>
        </w:rPr>
        <w:t>Proposal</w:t>
      </w:r>
      <w:r w:rsidRPr="00DE785B">
        <w:rPr>
          <w:rFonts w:hint="eastAsia"/>
          <w:b/>
          <w:i/>
        </w:rPr>
        <w:t xml:space="preserve"> </w:t>
      </w:r>
      <w:r>
        <w:rPr>
          <w:rFonts w:hint="eastAsia"/>
          <w:b/>
          <w:i/>
        </w:rPr>
        <w:t>1</w:t>
      </w:r>
      <w:r w:rsidRPr="00DE785B">
        <w:rPr>
          <w:rFonts w:hint="eastAsia"/>
          <w:b/>
          <w:i/>
        </w:rPr>
        <w:t>:</w:t>
      </w:r>
      <w:r>
        <w:rPr>
          <w:rFonts w:hint="eastAsia"/>
          <w:b/>
          <w:i/>
        </w:rPr>
        <w:t xml:space="preserve"> different numerologies in one PUCCH group is </w:t>
      </w:r>
      <w:r>
        <w:rPr>
          <w:b/>
          <w:i/>
        </w:rPr>
        <w:t>supported</w:t>
      </w:r>
      <w:r>
        <w:rPr>
          <w:rFonts w:hint="eastAsia"/>
          <w:b/>
          <w:i/>
        </w:rPr>
        <w:t xml:space="preserve"> in R15</w:t>
      </w:r>
    </w:p>
    <w:p w:rsidR="00D163B8" w:rsidRDefault="00D163B8" w:rsidP="00D163B8">
      <w:pPr>
        <w:spacing w:afterLines="50"/>
        <w:jc w:val="both"/>
        <w:rPr>
          <w:b/>
          <w:i/>
        </w:rPr>
      </w:pPr>
      <w:r w:rsidRPr="00324313">
        <w:rPr>
          <w:b/>
          <w:i/>
        </w:rPr>
        <w:t xml:space="preserve">Proposal </w:t>
      </w:r>
      <w:r>
        <w:rPr>
          <w:rFonts w:hint="eastAsia"/>
          <w:b/>
          <w:i/>
        </w:rPr>
        <w:t>2</w:t>
      </w:r>
      <w:r w:rsidRPr="00324313">
        <w:rPr>
          <w:b/>
          <w:i/>
        </w:rPr>
        <w:t>: The number of CCs with the same or different numerology in one PUCCH group does not exceed 5 at least in Rel-15.</w:t>
      </w:r>
    </w:p>
    <w:p w:rsidR="000154C5" w:rsidRDefault="000154C5" w:rsidP="000154C5">
      <w:pPr>
        <w:spacing w:after="50"/>
        <w:rPr>
          <w:b/>
          <w:i/>
        </w:rPr>
      </w:pPr>
      <w:r>
        <w:rPr>
          <w:rFonts w:hint="eastAsia"/>
          <w:b/>
          <w:i/>
        </w:rPr>
        <w:t>Proposal</w:t>
      </w:r>
      <w:r w:rsidRPr="00DE785B">
        <w:rPr>
          <w:rFonts w:hint="eastAsia"/>
          <w:b/>
          <w:i/>
        </w:rPr>
        <w:t xml:space="preserve"> </w:t>
      </w:r>
      <w:r>
        <w:rPr>
          <w:rFonts w:hint="eastAsia"/>
          <w:b/>
          <w:i/>
        </w:rPr>
        <w:t>3</w:t>
      </w:r>
      <w:r w:rsidRPr="00DE785B">
        <w:rPr>
          <w:rFonts w:hint="eastAsia"/>
          <w:b/>
          <w:i/>
        </w:rPr>
        <w:t>:</w:t>
      </w:r>
      <w:r>
        <w:rPr>
          <w:rFonts w:hint="eastAsia"/>
          <w:b/>
          <w:i/>
        </w:rPr>
        <w:t xml:space="preserve"> NR </w:t>
      </w:r>
      <w:r w:rsidR="00BF3F8F">
        <w:rPr>
          <w:rFonts w:hint="eastAsia"/>
          <w:b/>
          <w:i/>
        </w:rPr>
        <w:t xml:space="preserve">CA </w:t>
      </w:r>
      <w:r>
        <w:rPr>
          <w:rFonts w:hint="eastAsia"/>
          <w:b/>
          <w:i/>
        </w:rPr>
        <w:t>adopt scheme of codebook determination s</w:t>
      </w:r>
      <w:r w:rsidRPr="00961A30">
        <w:rPr>
          <w:b/>
          <w:i/>
        </w:rPr>
        <w:t>imilar to LTE:</w:t>
      </w:r>
    </w:p>
    <w:p w:rsidR="000154C5" w:rsidRPr="00FA5505" w:rsidRDefault="000154C5" w:rsidP="000154C5">
      <w:pPr>
        <w:pStyle w:val="ListParagraph"/>
        <w:numPr>
          <w:ilvl w:val="0"/>
          <w:numId w:val="35"/>
        </w:numPr>
        <w:spacing w:after="50"/>
        <w:ind w:firstLineChars="0"/>
        <w:rPr>
          <w:b/>
          <w:i/>
        </w:rPr>
      </w:pPr>
      <w:r>
        <w:rPr>
          <w:rFonts w:hint="eastAsia"/>
          <w:b/>
          <w:i/>
        </w:rPr>
        <w:t>S</w:t>
      </w:r>
      <w:r w:rsidRPr="00FA5505">
        <w:rPr>
          <w:rFonts w:hint="eastAsia"/>
          <w:b/>
          <w:i/>
        </w:rPr>
        <w:t>emi-static codebook is used when there is no UL GRANT, and the HARQ-ACK codebook size can be determined by the number of slots of each CC</w:t>
      </w:r>
      <w:r>
        <w:rPr>
          <w:rFonts w:hint="eastAsia"/>
          <w:b/>
          <w:i/>
        </w:rPr>
        <w:t xml:space="preserve">, max </w:t>
      </w:r>
      <w:r>
        <w:rPr>
          <w:b/>
          <w:i/>
        </w:rPr>
        <w:t>number</w:t>
      </w:r>
      <w:r>
        <w:rPr>
          <w:rFonts w:hint="eastAsia"/>
          <w:b/>
          <w:i/>
        </w:rPr>
        <w:t xml:space="preserve"> of CBG </w:t>
      </w:r>
      <w:r w:rsidRPr="00FA5505">
        <w:rPr>
          <w:rFonts w:hint="eastAsia"/>
          <w:b/>
          <w:i/>
        </w:rPr>
        <w:t>and number of CCs.</w:t>
      </w:r>
    </w:p>
    <w:p w:rsidR="00AD5868" w:rsidRPr="00D163B8" w:rsidRDefault="000154C5" w:rsidP="00D163B8">
      <w:pPr>
        <w:pStyle w:val="ListParagraph"/>
        <w:numPr>
          <w:ilvl w:val="0"/>
          <w:numId w:val="35"/>
        </w:numPr>
        <w:spacing w:after="50"/>
        <w:ind w:firstLineChars="0"/>
        <w:rPr>
          <w:b/>
          <w:i/>
        </w:rPr>
      </w:pPr>
      <w:r>
        <w:rPr>
          <w:rFonts w:hint="eastAsia"/>
          <w:b/>
          <w:i/>
        </w:rPr>
        <w:t>D</w:t>
      </w:r>
      <w:r w:rsidRPr="00FA5505">
        <w:rPr>
          <w:rFonts w:hint="eastAsia"/>
          <w:b/>
          <w:i/>
        </w:rPr>
        <w:t xml:space="preserve">ynamic codebook is used when there is UL GRANT, and the HARQ-ACK codebook size can be determined by total DAI. </w:t>
      </w:r>
    </w:p>
    <w:p w:rsidR="009F3BC6" w:rsidRPr="00861E5F" w:rsidRDefault="00861E5F" w:rsidP="00861E5F">
      <w:pPr>
        <w:pStyle w:val="Heading2"/>
      </w:pPr>
      <w:r>
        <w:t>References</w:t>
      </w:r>
    </w:p>
    <w:p w:rsidR="004E57CA" w:rsidRPr="007B71A3" w:rsidRDefault="004E57CA" w:rsidP="004E57CA">
      <w:pPr>
        <w:pStyle w:val="ListParagraph"/>
        <w:numPr>
          <w:ilvl w:val="0"/>
          <w:numId w:val="11"/>
        </w:numPr>
        <w:spacing w:line="264" w:lineRule="auto"/>
        <w:ind w:left="432" w:firstLineChars="0"/>
        <w:rPr>
          <w:iCs/>
          <w:szCs w:val="20"/>
        </w:rPr>
      </w:pPr>
      <w:bookmarkStart w:id="15" w:name="_Ref498710673"/>
      <w:bookmarkStart w:id="16" w:name="_Ref498607598"/>
      <w:r w:rsidRPr="007B71A3">
        <w:rPr>
          <w:iCs/>
          <w:szCs w:val="20"/>
        </w:rPr>
        <w:t>3GPP Chairman’s notes RAN1</w:t>
      </w:r>
      <w:r w:rsidRPr="007B71A3">
        <w:rPr>
          <w:rFonts w:hint="eastAsia"/>
          <w:iCs/>
          <w:szCs w:val="20"/>
        </w:rPr>
        <w:t xml:space="preserve"> #90bis</w:t>
      </w:r>
      <w:r w:rsidRPr="007B71A3">
        <w:rPr>
          <w:iCs/>
          <w:szCs w:val="20"/>
        </w:rPr>
        <w:t>, 2017-</w:t>
      </w:r>
      <w:r w:rsidRPr="007B71A3">
        <w:rPr>
          <w:rFonts w:hint="eastAsia"/>
          <w:iCs/>
          <w:szCs w:val="20"/>
        </w:rPr>
        <w:t>10</w:t>
      </w:r>
      <w:bookmarkEnd w:id="15"/>
    </w:p>
    <w:p w:rsidR="004E57CA" w:rsidRDefault="004E57CA" w:rsidP="004E57CA">
      <w:pPr>
        <w:pStyle w:val="ListParagraph"/>
        <w:numPr>
          <w:ilvl w:val="0"/>
          <w:numId w:val="11"/>
        </w:numPr>
        <w:spacing w:line="264" w:lineRule="auto"/>
        <w:ind w:left="432" w:firstLineChars="0"/>
        <w:rPr>
          <w:iCs/>
          <w:szCs w:val="20"/>
        </w:rPr>
      </w:pPr>
      <w:r w:rsidRPr="007B71A3">
        <w:rPr>
          <w:iCs/>
          <w:szCs w:val="20"/>
        </w:rPr>
        <w:t>R1-1715886</w:t>
      </w:r>
      <w:r w:rsidRPr="007B71A3">
        <w:rPr>
          <w:rFonts w:hint="eastAsia"/>
          <w:iCs/>
          <w:szCs w:val="20"/>
        </w:rPr>
        <w:t xml:space="preserve">, </w:t>
      </w:r>
      <w:r w:rsidRPr="007B71A3">
        <w:rPr>
          <w:iCs/>
          <w:szCs w:val="20"/>
        </w:rPr>
        <w:t xml:space="preserve">“Considerations </w:t>
      </w:r>
      <w:r w:rsidRPr="00836923">
        <w:rPr>
          <w:iCs/>
          <w:szCs w:val="20"/>
        </w:rPr>
        <w:t>on HARQ process and feedback for NR</w:t>
      </w:r>
      <w:r>
        <w:rPr>
          <w:iCs/>
          <w:szCs w:val="20"/>
        </w:rPr>
        <w:t>”</w:t>
      </w:r>
      <w:r>
        <w:rPr>
          <w:rFonts w:hint="eastAsia"/>
          <w:iCs/>
          <w:szCs w:val="20"/>
        </w:rPr>
        <w:t xml:space="preserve">, </w:t>
      </w:r>
      <w:r w:rsidRPr="00836923">
        <w:rPr>
          <w:rFonts w:hint="eastAsia"/>
          <w:iCs/>
          <w:szCs w:val="20"/>
        </w:rPr>
        <w:t>LG Electronics</w:t>
      </w:r>
      <w:r w:rsidRPr="00196BE4">
        <w:rPr>
          <w:rFonts w:hint="eastAsia"/>
          <w:iCs/>
          <w:szCs w:val="20"/>
        </w:rPr>
        <w:t>, RAN</w:t>
      </w:r>
      <w:r>
        <w:rPr>
          <w:rFonts w:hint="eastAsia"/>
          <w:iCs/>
          <w:szCs w:val="20"/>
        </w:rPr>
        <w:t>1 NR#3</w:t>
      </w:r>
    </w:p>
    <w:p w:rsidR="004E57CA" w:rsidRDefault="004E57CA" w:rsidP="004E57CA">
      <w:pPr>
        <w:pStyle w:val="ListParagraph"/>
        <w:numPr>
          <w:ilvl w:val="0"/>
          <w:numId w:val="11"/>
        </w:numPr>
        <w:spacing w:line="264" w:lineRule="auto"/>
        <w:ind w:left="432" w:firstLineChars="0"/>
        <w:rPr>
          <w:iCs/>
          <w:szCs w:val="20"/>
        </w:rPr>
      </w:pPr>
      <w:r w:rsidRPr="00836923">
        <w:rPr>
          <w:rFonts w:hint="eastAsia"/>
          <w:iCs/>
          <w:szCs w:val="20"/>
        </w:rPr>
        <w:t>R1-1716005</w:t>
      </w:r>
      <w:r>
        <w:rPr>
          <w:rFonts w:hint="eastAsia"/>
          <w:iCs/>
          <w:szCs w:val="20"/>
        </w:rPr>
        <w:t xml:space="preserve">, </w:t>
      </w:r>
      <w:r>
        <w:rPr>
          <w:iCs/>
          <w:szCs w:val="20"/>
        </w:rPr>
        <w:t>“</w:t>
      </w:r>
      <w:r w:rsidRPr="00836923">
        <w:rPr>
          <w:iCs/>
          <w:szCs w:val="20"/>
        </w:rPr>
        <w:t>HARQ Management and Feedback</w:t>
      </w:r>
      <w:r>
        <w:rPr>
          <w:iCs/>
          <w:szCs w:val="20"/>
        </w:rPr>
        <w:t>”</w:t>
      </w:r>
      <w:r>
        <w:rPr>
          <w:rFonts w:hint="eastAsia"/>
          <w:iCs/>
          <w:szCs w:val="20"/>
        </w:rPr>
        <w:t>, Samsung</w:t>
      </w:r>
      <w:r w:rsidRPr="00196BE4">
        <w:rPr>
          <w:rFonts w:hint="eastAsia"/>
          <w:iCs/>
          <w:szCs w:val="20"/>
        </w:rPr>
        <w:t>, RAN</w:t>
      </w:r>
      <w:r>
        <w:rPr>
          <w:rFonts w:hint="eastAsia"/>
          <w:iCs/>
          <w:szCs w:val="20"/>
        </w:rPr>
        <w:t>1 NR#3</w:t>
      </w:r>
    </w:p>
    <w:p w:rsidR="004E57CA" w:rsidRDefault="004E57CA" w:rsidP="004E57CA">
      <w:pPr>
        <w:pStyle w:val="ListParagraph"/>
        <w:numPr>
          <w:ilvl w:val="0"/>
          <w:numId w:val="11"/>
        </w:numPr>
        <w:spacing w:line="264" w:lineRule="auto"/>
        <w:ind w:left="432" w:firstLineChars="0"/>
        <w:rPr>
          <w:iCs/>
          <w:szCs w:val="20"/>
        </w:rPr>
      </w:pPr>
      <w:r w:rsidRPr="00836923">
        <w:rPr>
          <w:rFonts w:hint="eastAsia"/>
          <w:iCs/>
          <w:szCs w:val="20"/>
        </w:rPr>
        <w:t>R1-1716595</w:t>
      </w:r>
      <w:r>
        <w:rPr>
          <w:rFonts w:hint="eastAsia"/>
          <w:iCs/>
          <w:szCs w:val="20"/>
        </w:rPr>
        <w:t xml:space="preserve">, </w:t>
      </w:r>
      <w:r>
        <w:rPr>
          <w:iCs/>
          <w:szCs w:val="20"/>
        </w:rPr>
        <w:t>“</w:t>
      </w:r>
      <w:r w:rsidRPr="00836923">
        <w:rPr>
          <w:iCs/>
          <w:szCs w:val="20"/>
        </w:rPr>
        <w:t>On HARQ Management</w:t>
      </w:r>
      <w:r>
        <w:rPr>
          <w:iCs/>
          <w:szCs w:val="20"/>
        </w:rPr>
        <w:t>”</w:t>
      </w:r>
      <w:r>
        <w:rPr>
          <w:rFonts w:hint="eastAsia"/>
          <w:iCs/>
          <w:szCs w:val="20"/>
        </w:rPr>
        <w:t>, Ericsson</w:t>
      </w:r>
      <w:r w:rsidRPr="00196BE4">
        <w:rPr>
          <w:rFonts w:hint="eastAsia"/>
          <w:iCs/>
          <w:szCs w:val="20"/>
        </w:rPr>
        <w:t>, RAN</w:t>
      </w:r>
      <w:r>
        <w:rPr>
          <w:rFonts w:hint="eastAsia"/>
          <w:iCs/>
          <w:szCs w:val="20"/>
        </w:rPr>
        <w:t>1 NR#3</w:t>
      </w:r>
    </w:p>
    <w:p w:rsidR="004E57CA" w:rsidRPr="00836923" w:rsidRDefault="004E57CA" w:rsidP="004E57CA">
      <w:pPr>
        <w:pStyle w:val="ListParagraph"/>
        <w:numPr>
          <w:ilvl w:val="0"/>
          <w:numId w:val="11"/>
        </w:numPr>
        <w:spacing w:line="264" w:lineRule="auto"/>
        <w:ind w:left="432" w:firstLineChars="0"/>
        <w:rPr>
          <w:iCs/>
          <w:szCs w:val="20"/>
        </w:rPr>
      </w:pPr>
      <w:r w:rsidRPr="00836923">
        <w:rPr>
          <w:iCs/>
          <w:szCs w:val="20"/>
        </w:rPr>
        <w:t xml:space="preserve">R1- </w:t>
      </w:r>
      <w:r w:rsidRPr="00836923">
        <w:rPr>
          <w:rFonts w:hint="eastAsia"/>
          <w:iCs/>
          <w:szCs w:val="20"/>
        </w:rPr>
        <w:t xml:space="preserve">1715825, </w:t>
      </w:r>
      <w:r>
        <w:rPr>
          <w:iCs/>
          <w:szCs w:val="20"/>
        </w:rPr>
        <w:t>“</w:t>
      </w:r>
      <w:r w:rsidRPr="00836923">
        <w:rPr>
          <w:iCs/>
          <w:szCs w:val="20"/>
        </w:rPr>
        <w:t xml:space="preserve">Discussion on </w:t>
      </w:r>
      <w:r w:rsidRPr="00836923">
        <w:rPr>
          <w:rFonts w:hint="eastAsia"/>
          <w:iCs/>
          <w:szCs w:val="20"/>
        </w:rPr>
        <w:t xml:space="preserve">DL/UL scheduling and </w:t>
      </w:r>
      <w:r w:rsidRPr="00836923">
        <w:rPr>
          <w:iCs/>
          <w:szCs w:val="20"/>
        </w:rPr>
        <w:t xml:space="preserve">HARQ </w:t>
      </w:r>
      <w:r w:rsidRPr="00836923">
        <w:rPr>
          <w:rFonts w:hint="eastAsia"/>
          <w:iCs/>
          <w:szCs w:val="20"/>
        </w:rPr>
        <w:t>management</w:t>
      </w:r>
      <w:r>
        <w:rPr>
          <w:iCs/>
          <w:szCs w:val="20"/>
        </w:rPr>
        <w:t>”</w:t>
      </w:r>
      <w:r>
        <w:rPr>
          <w:rFonts w:hint="eastAsia"/>
          <w:iCs/>
          <w:szCs w:val="20"/>
        </w:rPr>
        <w:t>, CATT</w:t>
      </w:r>
      <w:r w:rsidRPr="00196BE4">
        <w:rPr>
          <w:rFonts w:hint="eastAsia"/>
          <w:iCs/>
          <w:szCs w:val="20"/>
        </w:rPr>
        <w:t>, RAN</w:t>
      </w:r>
      <w:r>
        <w:rPr>
          <w:rFonts w:hint="eastAsia"/>
          <w:iCs/>
          <w:szCs w:val="20"/>
        </w:rPr>
        <w:t>1 NR#3</w:t>
      </w:r>
    </w:p>
    <w:p w:rsidR="009F3BC6" w:rsidRDefault="00196BE4" w:rsidP="00861E5F">
      <w:pPr>
        <w:pStyle w:val="ListParagraph"/>
        <w:numPr>
          <w:ilvl w:val="0"/>
          <w:numId w:val="11"/>
        </w:numPr>
        <w:spacing w:line="264" w:lineRule="auto"/>
        <w:ind w:left="432" w:firstLineChars="0"/>
        <w:rPr>
          <w:iCs/>
          <w:szCs w:val="20"/>
        </w:rPr>
      </w:pPr>
      <w:bookmarkStart w:id="17" w:name="_Ref498710561"/>
      <w:r w:rsidRPr="00196BE4">
        <w:rPr>
          <w:iCs/>
          <w:szCs w:val="20"/>
        </w:rPr>
        <w:t>RP-172108</w:t>
      </w:r>
      <w:r>
        <w:rPr>
          <w:rFonts w:hint="eastAsia"/>
          <w:iCs/>
          <w:szCs w:val="20"/>
        </w:rPr>
        <w:t xml:space="preserve">, </w:t>
      </w:r>
      <w:r w:rsidR="008C68F8">
        <w:rPr>
          <w:iCs/>
          <w:szCs w:val="20"/>
        </w:rPr>
        <w:t>“</w:t>
      </w:r>
      <w:r w:rsidRPr="00196BE4">
        <w:rPr>
          <w:rFonts w:hint="eastAsia"/>
          <w:iCs/>
          <w:szCs w:val="20"/>
        </w:rPr>
        <w:t>Updated work plan of RAN</w:t>
      </w:r>
      <w:r w:rsidRPr="00196BE4">
        <w:rPr>
          <w:iCs/>
          <w:szCs w:val="20"/>
        </w:rPr>
        <w:t xml:space="preserve"> </w:t>
      </w:r>
      <w:r w:rsidRPr="00196BE4">
        <w:rPr>
          <w:rFonts w:hint="eastAsia"/>
          <w:iCs/>
          <w:szCs w:val="20"/>
        </w:rPr>
        <w:t>1 and 4 NR</w:t>
      </w:r>
      <w:r w:rsidR="008C68F8">
        <w:rPr>
          <w:iCs/>
          <w:szCs w:val="20"/>
        </w:rPr>
        <w:t>”</w:t>
      </w:r>
      <w:r>
        <w:rPr>
          <w:rFonts w:hint="eastAsia"/>
          <w:iCs/>
          <w:szCs w:val="20"/>
        </w:rPr>
        <w:t xml:space="preserve">, </w:t>
      </w:r>
      <w:r w:rsidRPr="00196BE4">
        <w:rPr>
          <w:iCs/>
          <w:szCs w:val="20"/>
        </w:rPr>
        <w:t>NTT DOCOMO &amp; drafting group</w:t>
      </w:r>
      <w:r w:rsidRPr="00196BE4">
        <w:rPr>
          <w:rFonts w:hint="eastAsia"/>
          <w:iCs/>
          <w:szCs w:val="20"/>
        </w:rPr>
        <w:t>, RAN#77</w:t>
      </w:r>
      <w:bookmarkEnd w:id="16"/>
      <w:bookmarkEnd w:id="17"/>
    </w:p>
    <w:p w:rsidR="00B1780D" w:rsidRDefault="008C68F8" w:rsidP="00861E5F">
      <w:pPr>
        <w:pStyle w:val="ListParagraph"/>
        <w:numPr>
          <w:ilvl w:val="0"/>
          <w:numId w:val="11"/>
        </w:numPr>
        <w:spacing w:line="264" w:lineRule="auto"/>
        <w:ind w:left="432" w:firstLineChars="0"/>
        <w:rPr>
          <w:iCs/>
          <w:szCs w:val="20"/>
        </w:rPr>
      </w:pPr>
      <w:bookmarkStart w:id="18" w:name="_Ref498623146"/>
      <w:r w:rsidRPr="008C68F8">
        <w:rPr>
          <w:iCs/>
          <w:szCs w:val="20"/>
        </w:rPr>
        <w:t>RP-172115</w:t>
      </w:r>
      <w:r w:rsidRPr="008C68F8">
        <w:rPr>
          <w:rFonts w:hint="eastAsia"/>
          <w:iCs/>
          <w:szCs w:val="20"/>
        </w:rPr>
        <w:t xml:space="preserve">, </w:t>
      </w:r>
      <w:r w:rsidRPr="008C68F8">
        <w:rPr>
          <w:iCs/>
          <w:szCs w:val="20"/>
        </w:rPr>
        <w:t>“Revised WID on New Radio Access Technology”</w:t>
      </w:r>
      <w:r w:rsidRPr="008C68F8">
        <w:rPr>
          <w:rFonts w:hint="eastAsia"/>
          <w:iCs/>
          <w:szCs w:val="20"/>
        </w:rPr>
        <w:t xml:space="preserve">, </w:t>
      </w:r>
      <w:r w:rsidRPr="008C68F8">
        <w:rPr>
          <w:iCs/>
          <w:szCs w:val="20"/>
        </w:rPr>
        <w:t>NTT DOCOMO, INC.</w:t>
      </w:r>
      <w:r w:rsidRPr="008C68F8">
        <w:rPr>
          <w:rFonts w:hint="eastAsia"/>
          <w:iCs/>
          <w:szCs w:val="20"/>
        </w:rPr>
        <w:t>, RAN#77</w:t>
      </w:r>
      <w:bookmarkEnd w:id="18"/>
    </w:p>
    <w:p w:rsidR="00965B3F" w:rsidRPr="00965B3F" w:rsidRDefault="00965B3F" w:rsidP="00965B3F">
      <w:pPr>
        <w:pStyle w:val="ListParagraph"/>
        <w:numPr>
          <w:ilvl w:val="0"/>
          <w:numId w:val="11"/>
        </w:numPr>
        <w:spacing w:line="264" w:lineRule="auto"/>
        <w:ind w:left="432" w:firstLineChars="0"/>
        <w:rPr>
          <w:iCs/>
          <w:szCs w:val="20"/>
        </w:rPr>
      </w:pPr>
      <w:bookmarkStart w:id="19" w:name="_Ref498632752"/>
      <w:r w:rsidRPr="00965B3F">
        <w:rPr>
          <w:iCs/>
          <w:szCs w:val="20"/>
        </w:rPr>
        <w:t>36.</w:t>
      </w:r>
      <w:r w:rsidRPr="00965B3F">
        <w:rPr>
          <w:rFonts w:hint="eastAsia"/>
          <w:iCs/>
          <w:szCs w:val="20"/>
        </w:rPr>
        <w:t xml:space="preserve">912, </w:t>
      </w:r>
      <w:r>
        <w:rPr>
          <w:iCs/>
          <w:szCs w:val="20"/>
        </w:rPr>
        <w:t>‘</w:t>
      </w:r>
      <w:r w:rsidRPr="00965B3F">
        <w:rPr>
          <w:rFonts w:hint="eastAsia"/>
          <w:iCs/>
          <w:szCs w:val="20"/>
        </w:rPr>
        <w:t>Feasibility study for</w:t>
      </w:r>
      <w:r>
        <w:rPr>
          <w:rFonts w:hint="eastAsia"/>
          <w:iCs/>
          <w:szCs w:val="20"/>
        </w:rPr>
        <w:t xml:space="preserve"> </w:t>
      </w:r>
      <w:r w:rsidRPr="00965B3F">
        <w:rPr>
          <w:iCs/>
          <w:szCs w:val="20"/>
        </w:rPr>
        <w:t>Further Advancements for E-UTRA</w:t>
      </w:r>
      <w:r w:rsidRPr="00965B3F">
        <w:rPr>
          <w:rFonts w:hint="eastAsia"/>
          <w:iCs/>
          <w:szCs w:val="20"/>
        </w:rPr>
        <w:t xml:space="preserve"> (LTE-Advanced)</w:t>
      </w:r>
      <w:r>
        <w:rPr>
          <w:iCs/>
          <w:szCs w:val="20"/>
        </w:rPr>
        <w:t>’</w:t>
      </w:r>
      <w:r>
        <w:rPr>
          <w:rFonts w:hint="eastAsia"/>
          <w:iCs/>
          <w:szCs w:val="20"/>
        </w:rPr>
        <w:t>, 3GPP</w:t>
      </w:r>
      <w:bookmarkEnd w:id="19"/>
    </w:p>
    <w:p w:rsidR="009F3BC6" w:rsidRPr="00F410EB" w:rsidRDefault="009F3BC6" w:rsidP="00F410EB">
      <w:pPr>
        <w:rPr>
          <w:b/>
          <w:i/>
        </w:rPr>
      </w:pPr>
    </w:p>
    <w:p w:rsidR="00904136" w:rsidRPr="005C3667" w:rsidRDefault="00904136" w:rsidP="00861E5F">
      <w:pPr>
        <w:pStyle w:val="Heading2"/>
      </w:pPr>
      <w:r w:rsidRPr="005C3667">
        <w:rPr>
          <w:rFonts w:hint="eastAsia"/>
        </w:rPr>
        <w:t>Appendix</w:t>
      </w:r>
    </w:p>
    <w:p w:rsidR="00991D7D" w:rsidRDefault="00991D7D" w:rsidP="00991D7D">
      <w:pPr>
        <w:pStyle w:val="Caption"/>
        <w:keepNext/>
        <w:rPr>
          <w:lang w:eastAsia="zh-CN"/>
        </w:rPr>
      </w:pPr>
      <w:r>
        <w:t xml:space="preserve">Table </w:t>
      </w:r>
      <w:r w:rsidR="005069EC">
        <w:fldChar w:fldCharType="begin"/>
      </w:r>
      <w:r w:rsidR="00B85FA4">
        <w:instrText xml:space="preserve"> SEQ Table \* ARABIC </w:instrText>
      </w:r>
      <w:r w:rsidR="005069EC">
        <w:fldChar w:fldCharType="separate"/>
      </w:r>
      <w:r w:rsidR="000703F3">
        <w:rPr>
          <w:noProof/>
        </w:rPr>
        <w:t>3</w:t>
      </w:r>
      <w:r w:rsidR="005069EC">
        <w:fldChar w:fldCharType="end"/>
      </w:r>
      <w:r>
        <w:rPr>
          <w:rFonts w:hint="eastAsia"/>
          <w:lang w:eastAsia="zh-CN"/>
        </w:rPr>
        <w:t xml:space="preserve"> Simulation Assumptions</w:t>
      </w:r>
    </w:p>
    <w:tbl>
      <w:tblPr>
        <w:tblStyle w:val="TableGri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978"/>
        <w:gridCol w:w="6264"/>
      </w:tblGrid>
      <w:tr w:rsidR="00991D7D" w:rsidTr="00991D7D">
        <w:tc>
          <w:tcPr>
            <w:tcW w:w="1611" w:type="pct"/>
            <w:shd w:val="clear" w:color="auto" w:fill="BBDFFD"/>
            <w:vAlign w:val="center"/>
          </w:tcPr>
          <w:p w:rsidR="00991D7D" w:rsidRDefault="00991D7D" w:rsidP="004C36AE">
            <w:pPr>
              <w:overflowPunct w:val="0"/>
              <w:autoSpaceDE w:val="0"/>
              <w:autoSpaceDN w:val="0"/>
              <w:spacing w:line="0" w:lineRule="atLeast"/>
              <w:jc w:val="center"/>
              <w:textAlignment w:val="baseline"/>
              <w:rPr>
                <w:rFonts w:eastAsia="宋体"/>
              </w:rPr>
            </w:pPr>
            <w:bookmarkStart w:id="20" w:name="_Hlk462826262"/>
            <w:r>
              <w:rPr>
                <w:rFonts w:hint="eastAsia"/>
              </w:rPr>
              <w:t>Parameter</w:t>
            </w:r>
          </w:p>
        </w:tc>
        <w:tc>
          <w:tcPr>
            <w:tcW w:w="3389" w:type="pct"/>
            <w:shd w:val="clear" w:color="auto" w:fill="BBDFFD"/>
            <w:vAlign w:val="center"/>
          </w:tcPr>
          <w:p w:rsidR="00991D7D" w:rsidRDefault="00991D7D" w:rsidP="004C36AE">
            <w:pPr>
              <w:overflowPunct w:val="0"/>
              <w:autoSpaceDE w:val="0"/>
              <w:autoSpaceDN w:val="0"/>
              <w:spacing w:line="0" w:lineRule="atLeast"/>
              <w:jc w:val="center"/>
              <w:textAlignment w:val="baseline"/>
              <w:rPr>
                <w:rFonts w:eastAsia="宋体"/>
              </w:rPr>
            </w:pPr>
            <w:r>
              <w:rPr>
                <w:rFonts w:hint="eastAsia"/>
              </w:rPr>
              <w:t>Value</w:t>
            </w:r>
          </w:p>
        </w:tc>
      </w:tr>
      <w:tr w:rsidR="00991D7D" w:rsidTr="00991D7D">
        <w:tc>
          <w:tcPr>
            <w:tcW w:w="1611" w:type="pct"/>
            <w:shd w:val="clear" w:color="auto" w:fill="BBDFFD"/>
            <w:vAlign w:val="center"/>
          </w:tcPr>
          <w:p w:rsidR="00991D7D" w:rsidRDefault="00991D7D" w:rsidP="004C36AE">
            <w:pPr>
              <w:jc w:val="both"/>
            </w:pPr>
            <w:r>
              <w:rPr>
                <w:lang w:val="sv-SE"/>
              </w:rPr>
              <w:t>Coding, modulation, etc</w:t>
            </w:r>
          </w:p>
        </w:tc>
        <w:tc>
          <w:tcPr>
            <w:tcW w:w="3389" w:type="pct"/>
            <w:vAlign w:val="center"/>
          </w:tcPr>
          <w:p w:rsidR="00991D7D" w:rsidRDefault="00991D7D" w:rsidP="004C36AE">
            <w:pPr>
              <w:jc w:val="both"/>
            </w:pPr>
            <w:r>
              <w:rPr>
                <w:lang w:val="sv-SE"/>
              </w:rPr>
              <w:t>LTE PDSCH</w:t>
            </w:r>
            <w:r>
              <w:rPr>
                <w:lang w:val="en-GB"/>
              </w:rPr>
              <w:t xml:space="preserve"> </w:t>
            </w:r>
          </w:p>
        </w:tc>
      </w:tr>
      <w:tr w:rsidR="00991D7D" w:rsidTr="00991D7D">
        <w:tc>
          <w:tcPr>
            <w:tcW w:w="1611" w:type="pct"/>
            <w:shd w:val="clear" w:color="auto" w:fill="BBDFFD"/>
            <w:vAlign w:val="center"/>
          </w:tcPr>
          <w:p w:rsidR="00991D7D" w:rsidRDefault="00991D7D" w:rsidP="004C36AE">
            <w:pPr>
              <w:jc w:val="both"/>
            </w:pPr>
            <w:r>
              <w:rPr>
                <w:lang w:val="sv-SE"/>
              </w:rPr>
              <w:t>Subcarrier spacing</w:t>
            </w:r>
            <w:r>
              <w:rPr>
                <w:lang w:val="en-GB"/>
              </w:rPr>
              <w:t xml:space="preserve"> </w:t>
            </w:r>
            <w:r>
              <w:rPr>
                <w:rFonts w:hint="eastAsia"/>
                <w:lang w:val="en-GB"/>
              </w:rPr>
              <w:t>(kHz)</w:t>
            </w:r>
          </w:p>
        </w:tc>
        <w:tc>
          <w:tcPr>
            <w:tcW w:w="3389" w:type="pct"/>
            <w:vAlign w:val="center"/>
          </w:tcPr>
          <w:p w:rsidR="00991D7D" w:rsidRDefault="00991D7D" w:rsidP="004C36AE">
            <w:pPr>
              <w:jc w:val="both"/>
            </w:pPr>
            <w:r>
              <w:rPr>
                <w:rFonts w:hint="eastAsia"/>
              </w:rPr>
              <w:t>15</w:t>
            </w:r>
          </w:p>
        </w:tc>
      </w:tr>
      <w:tr w:rsidR="00991D7D" w:rsidTr="00991D7D">
        <w:tc>
          <w:tcPr>
            <w:tcW w:w="1611" w:type="pct"/>
            <w:shd w:val="clear" w:color="auto" w:fill="BBDFFD"/>
            <w:vAlign w:val="center"/>
          </w:tcPr>
          <w:p w:rsidR="00991D7D" w:rsidRDefault="00991D7D" w:rsidP="004C36AE">
            <w:pPr>
              <w:jc w:val="both"/>
            </w:pPr>
            <w:r>
              <w:rPr>
                <w:lang w:val="sv-SE"/>
              </w:rPr>
              <w:t>CP duration</w:t>
            </w:r>
            <w:r>
              <w:rPr>
                <w:lang w:val="en-GB"/>
              </w:rPr>
              <w:t xml:space="preserve"> </w:t>
            </w:r>
            <w:r>
              <w:rPr>
                <w:rFonts w:hint="eastAsia"/>
                <w:lang w:val="en-GB"/>
              </w:rPr>
              <w:t>(us)</w:t>
            </w:r>
          </w:p>
        </w:tc>
        <w:tc>
          <w:tcPr>
            <w:tcW w:w="3389" w:type="pct"/>
            <w:vAlign w:val="center"/>
          </w:tcPr>
          <w:p w:rsidR="00991D7D" w:rsidRDefault="00991D7D" w:rsidP="004C36AE">
            <w:pPr>
              <w:jc w:val="both"/>
            </w:pPr>
            <w:r>
              <w:rPr>
                <w:lang w:val="sv-SE"/>
              </w:rPr>
              <w:t xml:space="preserve">5.2/4.7 </w:t>
            </w:r>
            <w:r>
              <w:rPr>
                <w:rFonts w:hint="eastAsia"/>
              </w:rPr>
              <w:t>for 15kHz</w:t>
            </w:r>
          </w:p>
          <w:p w:rsidR="00991D7D" w:rsidRDefault="00991D7D" w:rsidP="004C36AE">
            <w:pPr>
              <w:jc w:val="both"/>
              <w:rPr>
                <w:rFonts w:eastAsia="宋体"/>
              </w:rPr>
            </w:pPr>
            <w:r>
              <w:rPr>
                <w:rFonts w:hint="eastAsia"/>
              </w:rPr>
              <w:t>2.6/2.35 for 30kHz</w:t>
            </w:r>
          </w:p>
        </w:tc>
      </w:tr>
      <w:tr w:rsidR="00991D7D" w:rsidTr="00991D7D">
        <w:tc>
          <w:tcPr>
            <w:tcW w:w="1611" w:type="pct"/>
            <w:shd w:val="clear" w:color="auto" w:fill="BBDFFD"/>
            <w:vAlign w:val="center"/>
          </w:tcPr>
          <w:p w:rsidR="00991D7D" w:rsidRDefault="00991D7D" w:rsidP="004C36AE">
            <w:pPr>
              <w:jc w:val="both"/>
            </w:pPr>
            <w:r>
              <w:rPr>
                <w:lang w:val="sv-SE"/>
              </w:rPr>
              <w:t>Symbols per 1 ms subframe</w:t>
            </w:r>
            <w:r>
              <w:rPr>
                <w:lang w:val="en-GB"/>
              </w:rPr>
              <w:t xml:space="preserve"> </w:t>
            </w:r>
          </w:p>
        </w:tc>
        <w:tc>
          <w:tcPr>
            <w:tcW w:w="3389" w:type="pct"/>
            <w:vAlign w:val="center"/>
          </w:tcPr>
          <w:p w:rsidR="00991D7D" w:rsidRDefault="00991D7D" w:rsidP="004C36AE">
            <w:pPr>
              <w:jc w:val="both"/>
            </w:pPr>
            <w:r>
              <w:rPr>
                <w:rFonts w:hint="eastAsia"/>
              </w:rPr>
              <w:t>14 for 15kHz</w:t>
            </w:r>
          </w:p>
          <w:p w:rsidR="00991D7D" w:rsidRDefault="00991D7D" w:rsidP="004C36AE">
            <w:pPr>
              <w:jc w:val="both"/>
            </w:pPr>
            <w:r>
              <w:rPr>
                <w:rFonts w:hint="eastAsia"/>
              </w:rPr>
              <w:t>28 for 30kHz</w:t>
            </w:r>
          </w:p>
        </w:tc>
      </w:tr>
      <w:tr w:rsidR="00991D7D" w:rsidTr="00991D7D">
        <w:tc>
          <w:tcPr>
            <w:tcW w:w="1611" w:type="pct"/>
            <w:shd w:val="clear" w:color="auto" w:fill="BBDFFD"/>
            <w:vAlign w:val="center"/>
          </w:tcPr>
          <w:p w:rsidR="00991D7D" w:rsidRDefault="00991D7D" w:rsidP="004C36AE">
            <w:pPr>
              <w:jc w:val="both"/>
            </w:pPr>
            <w:r>
              <w:rPr>
                <w:lang w:val="sv-SE"/>
              </w:rPr>
              <w:t>Waveform</w:t>
            </w:r>
          </w:p>
        </w:tc>
        <w:tc>
          <w:tcPr>
            <w:tcW w:w="3389" w:type="pct"/>
            <w:vAlign w:val="center"/>
          </w:tcPr>
          <w:p w:rsidR="00991D7D" w:rsidRDefault="00991D7D" w:rsidP="004C36AE">
            <w:pPr>
              <w:jc w:val="both"/>
            </w:pPr>
            <w:r>
              <w:rPr>
                <w:lang w:val="sv-SE"/>
              </w:rPr>
              <w:t>CP-OFDM</w:t>
            </w:r>
            <w:r>
              <w:rPr>
                <w:lang w:val="en-GB"/>
              </w:rPr>
              <w:t xml:space="preserve"> </w:t>
            </w:r>
          </w:p>
        </w:tc>
      </w:tr>
      <w:tr w:rsidR="00991D7D" w:rsidTr="00991D7D">
        <w:tc>
          <w:tcPr>
            <w:tcW w:w="1611" w:type="pct"/>
            <w:shd w:val="clear" w:color="auto" w:fill="BBDFFD"/>
            <w:vAlign w:val="center"/>
          </w:tcPr>
          <w:p w:rsidR="00991D7D" w:rsidRDefault="00991D7D" w:rsidP="004C36AE">
            <w:pPr>
              <w:jc w:val="both"/>
            </w:pPr>
            <w:r>
              <w:rPr>
                <w:lang w:val="sv-SE"/>
              </w:rPr>
              <w:t>Tx/Rx antennas</w:t>
            </w:r>
            <w:r>
              <w:rPr>
                <w:lang w:val="en-GB"/>
              </w:rPr>
              <w:t xml:space="preserve"> </w:t>
            </w:r>
          </w:p>
        </w:tc>
        <w:tc>
          <w:tcPr>
            <w:tcW w:w="3389" w:type="pct"/>
            <w:vAlign w:val="center"/>
          </w:tcPr>
          <w:p w:rsidR="00991D7D" w:rsidRDefault="00991D7D" w:rsidP="004C36AE">
            <w:pPr>
              <w:jc w:val="both"/>
              <w:rPr>
                <w:lang w:val="sv-SE"/>
              </w:rPr>
            </w:pPr>
            <w:r>
              <w:rPr>
                <w:lang w:val="sv-SE"/>
              </w:rPr>
              <w:t>1 Tx / 2 Rx antennas</w:t>
            </w:r>
          </w:p>
        </w:tc>
      </w:tr>
      <w:tr w:rsidR="00991D7D" w:rsidTr="00991D7D">
        <w:tc>
          <w:tcPr>
            <w:tcW w:w="1611" w:type="pct"/>
            <w:shd w:val="clear" w:color="auto" w:fill="BBDFFD"/>
            <w:vAlign w:val="center"/>
          </w:tcPr>
          <w:p w:rsidR="00991D7D" w:rsidRDefault="00991D7D" w:rsidP="004C36AE">
            <w:pPr>
              <w:jc w:val="both"/>
            </w:pPr>
            <w:r>
              <w:rPr>
                <w:lang w:val="sv-SE"/>
              </w:rPr>
              <w:t>Channel estimation</w:t>
            </w:r>
            <w:r>
              <w:rPr>
                <w:lang w:val="en-GB"/>
              </w:rPr>
              <w:t xml:space="preserve"> </w:t>
            </w:r>
          </w:p>
        </w:tc>
        <w:tc>
          <w:tcPr>
            <w:tcW w:w="3389" w:type="pct"/>
            <w:vAlign w:val="center"/>
          </w:tcPr>
          <w:p w:rsidR="00991D7D" w:rsidRDefault="00991D7D" w:rsidP="004C36AE">
            <w:pPr>
              <w:jc w:val="both"/>
            </w:pPr>
            <w:r>
              <w:rPr>
                <w:lang w:val="sv-SE"/>
              </w:rPr>
              <w:t>Genie-based</w:t>
            </w:r>
          </w:p>
        </w:tc>
      </w:tr>
      <w:tr w:rsidR="00991D7D" w:rsidTr="00991D7D">
        <w:tc>
          <w:tcPr>
            <w:tcW w:w="1611" w:type="pct"/>
            <w:shd w:val="clear" w:color="auto" w:fill="BBDFFD"/>
            <w:vAlign w:val="center"/>
          </w:tcPr>
          <w:p w:rsidR="00991D7D" w:rsidRDefault="00991D7D" w:rsidP="004C36AE">
            <w:pPr>
              <w:jc w:val="both"/>
            </w:pPr>
            <w:r>
              <w:rPr>
                <w:rFonts w:hint="eastAsia"/>
                <w:lang w:val="en-GB"/>
              </w:rPr>
              <w:t>#</w:t>
            </w:r>
            <w:r>
              <w:rPr>
                <w:lang w:val="en-GB"/>
              </w:rPr>
              <w:t xml:space="preserve"> of used PRBs in frequency </w:t>
            </w:r>
          </w:p>
        </w:tc>
        <w:tc>
          <w:tcPr>
            <w:tcW w:w="3389" w:type="pct"/>
            <w:vAlign w:val="center"/>
          </w:tcPr>
          <w:p w:rsidR="00991D7D" w:rsidRDefault="00991D7D" w:rsidP="004C36AE">
            <w:pPr>
              <w:jc w:val="both"/>
              <w:rPr>
                <w:rFonts w:eastAsia="宋体"/>
              </w:rPr>
            </w:pPr>
            <w:r>
              <w:rPr>
                <w:rFonts w:hint="eastAsia"/>
              </w:rPr>
              <w:t>6</w:t>
            </w:r>
          </w:p>
        </w:tc>
      </w:tr>
      <w:tr w:rsidR="00991D7D" w:rsidTr="00991D7D">
        <w:tc>
          <w:tcPr>
            <w:tcW w:w="1611" w:type="pct"/>
            <w:shd w:val="clear" w:color="auto" w:fill="BBDFFD"/>
            <w:vAlign w:val="center"/>
          </w:tcPr>
          <w:p w:rsidR="00991D7D" w:rsidRDefault="00991D7D" w:rsidP="004C36AE">
            <w:pPr>
              <w:jc w:val="both"/>
              <w:rPr>
                <w:lang w:val="sv-SE"/>
              </w:rPr>
            </w:pPr>
            <w:r>
              <w:rPr>
                <w:rFonts w:hint="eastAsia"/>
                <w:lang w:val="en-GB"/>
              </w:rPr>
              <w:lastRenderedPageBreak/>
              <w:t>subframe</w:t>
            </w:r>
            <w:r>
              <w:rPr>
                <w:lang w:val="en-GB"/>
              </w:rPr>
              <w:t xml:space="preserve"> length</w:t>
            </w:r>
            <w:r>
              <w:rPr>
                <w:rFonts w:hint="eastAsia"/>
                <w:lang w:val="en-GB"/>
              </w:rPr>
              <w:t xml:space="preserve"> (ms)</w:t>
            </w:r>
          </w:p>
        </w:tc>
        <w:tc>
          <w:tcPr>
            <w:tcW w:w="3389" w:type="pct"/>
            <w:vAlign w:val="center"/>
          </w:tcPr>
          <w:p w:rsidR="00991D7D" w:rsidRDefault="00991D7D" w:rsidP="004C36AE">
            <w:pPr>
              <w:jc w:val="both"/>
            </w:pPr>
            <w:r>
              <w:rPr>
                <w:rFonts w:hint="eastAsia"/>
              </w:rPr>
              <w:t>1</w:t>
            </w:r>
          </w:p>
        </w:tc>
      </w:tr>
      <w:tr w:rsidR="00991D7D" w:rsidTr="00991D7D">
        <w:tc>
          <w:tcPr>
            <w:tcW w:w="1611" w:type="pct"/>
            <w:shd w:val="clear" w:color="auto" w:fill="BBDFFD"/>
            <w:vAlign w:val="center"/>
          </w:tcPr>
          <w:p w:rsidR="00991D7D" w:rsidRDefault="00991D7D" w:rsidP="004C36AE">
            <w:pPr>
              <w:jc w:val="both"/>
              <w:rPr>
                <w:lang w:val="sv-SE"/>
              </w:rPr>
            </w:pPr>
            <w:r>
              <w:rPr>
                <w:rFonts w:hint="eastAsia"/>
                <w:lang w:val="sv-SE"/>
              </w:rPr>
              <w:t>Carrier Frequency (GHz)</w:t>
            </w:r>
          </w:p>
        </w:tc>
        <w:tc>
          <w:tcPr>
            <w:tcW w:w="3389" w:type="pct"/>
            <w:vAlign w:val="center"/>
          </w:tcPr>
          <w:p w:rsidR="00991D7D" w:rsidRDefault="00991D7D" w:rsidP="004C36AE">
            <w:pPr>
              <w:jc w:val="both"/>
              <w:rPr>
                <w:lang w:val="sv-SE"/>
              </w:rPr>
            </w:pPr>
            <w:r>
              <w:rPr>
                <w:rFonts w:hint="eastAsia"/>
              </w:rPr>
              <w:t>0.7</w:t>
            </w:r>
            <w:r>
              <w:rPr>
                <w:rFonts w:hint="eastAsia"/>
                <w:lang w:val="sv-SE"/>
              </w:rPr>
              <w:t>GHz</w:t>
            </w:r>
          </w:p>
        </w:tc>
      </w:tr>
      <w:tr w:rsidR="00991D7D" w:rsidTr="00991D7D">
        <w:tc>
          <w:tcPr>
            <w:tcW w:w="1611" w:type="pct"/>
            <w:shd w:val="clear" w:color="auto" w:fill="BBDFFD"/>
            <w:vAlign w:val="center"/>
          </w:tcPr>
          <w:p w:rsidR="00991D7D" w:rsidRDefault="00991D7D" w:rsidP="004C36AE">
            <w:pPr>
              <w:jc w:val="both"/>
            </w:pPr>
            <w:r>
              <w:rPr>
                <w:lang w:val="sv-SE"/>
              </w:rPr>
              <w:t>Channel model</w:t>
            </w:r>
            <w:r>
              <w:rPr>
                <w:lang w:val="en-GB"/>
              </w:rPr>
              <w:t xml:space="preserve"> </w:t>
            </w:r>
          </w:p>
        </w:tc>
        <w:tc>
          <w:tcPr>
            <w:tcW w:w="3389" w:type="pct"/>
            <w:vAlign w:val="center"/>
          </w:tcPr>
          <w:p w:rsidR="00991D7D" w:rsidRDefault="00991D7D" w:rsidP="004C36AE">
            <w:pPr>
              <w:jc w:val="both"/>
            </w:pPr>
            <w:r>
              <w:rPr>
                <w:lang w:val="en-GB"/>
              </w:rPr>
              <w:t>TDL A with DS = 1000,</w:t>
            </w:r>
            <w:r>
              <w:rPr>
                <w:rFonts w:hint="eastAsia"/>
                <w:lang w:val="en-GB"/>
              </w:rPr>
              <w:t xml:space="preserve">Speed: </w:t>
            </w:r>
            <w:r>
              <w:rPr>
                <w:lang w:val="en-GB"/>
              </w:rPr>
              <w:t xml:space="preserve"> 30</w:t>
            </w:r>
            <w:r>
              <w:rPr>
                <w:rFonts w:hint="eastAsia"/>
                <w:lang w:val="en-GB"/>
              </w:rPr>
              <w:t xml:space="preserve"> </w:t>
            </w:r>
            <w:r>
              <w:rPr>
                <w:lang w:val="en-GB"/>
              </w:rPr>
              <w:t xml:space="preserve">km/h </w:t>
            </w:r>
          </w:p>
        </w:tc>
      </w:tr>
      <w:tr w:rsidR="00991D7D" w:rsidTr="00991D7D">
        <w:tc>
          <w:tcPr>
            <w:tcW w:w="1611" w:type="pct"/>
            <w:shd w:val="clear" w:color="auto" w:fill="BBDFFD"/>
            <w:vAlign w:val="center"/>
          </w:tcPr>
          <w:p w:rsidR="00991D7D" w:rsidRDefault="00991D7D" w:rsidP="004C36AE">
            <w:pPr>
              <w:jc w:val="both"/>
            </w:pPr>
            <w:r>
              <w:rPr>
                <w:lang w:val="sv-SE"/>
              </w:rPr>
              <w:t>Link adaptation</w:t>
            </w:r>
            <w:r>
              <w:rPr>
                <w:lang w:val="en-GB"/>
              </w:rPr>
              <w:t xml:space="preserve"> </w:t>
            </w:r>
          </w:p>
        </w:tc>
        <w:tc>
          <w:tcPr>
            <w:tcW w:w="3389" w:type="pct"/>
            <w:vAlign w:val="center"/>
          </w:tcPr>
          <w:p w:rsidR="00991D7D" w:rsidRDefault="00991D7D" w:rsidP="004C36AE">
            <w:pPr>
              <w:jc w:val="both"/>
            </w:pPr>
            <w:r>
              <w:rPr>
                <w:lang w:val="en-GB"/>
              </w:rPr>
              <w:t xml:space="preserve">Fixed resource allocaiton with MCS adaptation. </w:t>
            </w:r>
            <w:r>
              <w:rPr>
                <w:lang w:val="sv-SE"/>
              </w:rPr>
              <w:t>OLLA enabled</w:t>
            </w:r>
          </w:p>
        </w:tc>
      </w:tr>
      <w:tr w:rsidR="00991D7D" w:rsidTr="00991D7D">
        <w:tc>
          <w:tcPr>
            <w:tcW w:w="1611" w:type="pct"/>
            <w:shd w:val="clear" w:color="auto" w:fill="BBDFFD"/>
            <w:vAlign w:val="center"/>
          </w:tcPr>
          <w:p w:rsidR="00991D7D" w:rsidRDefault="00991D7D" w:rsidP="004C36AE">
            <w:pPr>
              <w:jc w:val="both"/>
            </w:pPr>
            <w:r>
              <w:rPr>
                <w:lang w:val="sv-SE"/>
              </w:rPr>
              <w:t>Performance metric</w:t>
            </w:r>
            <w:r>
              <w:rPr>
                <w:vertAlign w:val="superscript"/>
                <w:lang w:val="en-GB"/>
              </w:rPr>
              <w:t xml:space="preserve"> </w:t>
            </w:r>
          </w:p>
        </w:tc>
        <w:tc>
          <w:tcPr>
            <w:tcW w:w="3389" w:type="pct"/>
            <w:vAlign w:val="center"/>
          </w:tcPr>
          <w:p w:rsidR="00991D7D" w:rsidRDefault="00991D7D" w:rsidP="004C36AE">
            <w:pPr>
              <w:jc w:val="both"/>
            </w:pPr>
            <w:r>
              <w:rPr>
                <w:lang w:val="en-GB"/>
              </w:rPr>
              <w:t>Spectral efficiency = Throughput/BW</w:t>
            </w:r>
            <w:r>
              <w:rPr>
                <w:vertAlign w:val="subscript"/>
                <w:lang w:val="en-GB"/>
              </w:rPr>
              <w:t>u</w:t>
            </w:r>
            <w:r>
              <w:rPr>
                <w:lang w:val="en-GB"/>
              </w:rPr>
              <w:t xml:space="preserve"> </w:t>
            </w:r>
            <w:r>
              <w:rPr>
                <w:rFonts w:hint="eastAsia"/>
                <w:lang w:val="en-GB"/>
              </w:rPr>
              <w:t xml:space="preserve">, where </w:t>
            </w:r>
            <w:r>
              <w:rPr>
                <w:lang w:val="en-GB"/>
              </w:rPr>
              <w:t>BW</w:t>
            </w:r>
            <w:r>
              <w:rPr>
                <w:vertAlign w:val="subscript"/>
                <w:lang w:val="en-GB"/>
              </w:rPr>
              <w:t>u</w:t>
            </w:r>
            <w:r>
              <w:rPr>
                <w:rFonts w:hint="eastAsia"/>
                <w:lang w:val="en-GB"/>
              </w:rPr>
              <w:t xml:space="preserve"> is the bandwidth for data transmission</w:t>
            </w:r>
          </w:p>
        </w:tc>
      </w:tr>
      <w:bookmarkEnd w:id="20"/>
    </w:tbl>
    <w:p w:rsidR="00EE5156" w:rsidRDefault="00EE5156" w:rsidP="005069EC">
      <w:pPr>
        <w:spacing w:afterLines="50"/>
        <w:rPr>
          <w:sz w:val="21"/>
          <w:szCs w:val="21"/>
        </w:rPr>
      </w:pPr>
    </w:p>
    <w:sectPr w:rsidR="00EE5156" w:rsidSect="0024567E">
      <w:headerReference w:type="default" r:id="rId13"/>
      <w:footerReference w:type="even" r:id="rId14"/>
      <w:footerReference w:type="default" r:id="rId15"/>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06D5" w:rsidRDefault="008806D5" w:rsidP="00FF0AAD">
      <w:r>
        <w:separator/>
      </w:r>
    </w:p>
  </w:endnote>
  <w:endnote w:type="continuationSeparator" w:id="0">
    <w:p w:rsidR="008806D5" w:rsidRDefault="008806D5" w:rsidP="00FF0A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2010600030101010101"/>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
    <w:altName w:val="MingLiU"/>
    <w:charset w:val="88"/>
    <w:family w:val="auto"/>
    <w:pitch w:val="default"/>
    <w:sig w:usb0="00000000" w:usb1="0000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STFangsong">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308" w:rsidRDefault="005069EC">
    <w:pPr>
      <w:pStyle w:val="Footer"/>
      <w:framePr w:wrap="around" w:vAnchor="text" w:hAnchor="margin" w:xAlign="right" w:y="1"/>
      <w:rPr>
        <w:rStyle w:val="PageNumber"/>
      </w:rPr>
    </w:pPr>
    <w:r>
      <w:rPr>
        <w:rStyle w:val="PageNumber"/>
      </w:rPr>
      <w:fldChar w:fldCharType="begin"/>
    </w:r>
    <w:r w:rsidR="00017308">
      <w:rPr>
        <w:rStyle w:val="PageNumber"/>
      </w:rPr>
      <w:instrText xml:space="preserve">PAGE  </w:instrText>
    </w:r>
    <w:r>
      <w:rPr>
        <w:rStyle w:val="PageNumber"/>
      </w:rPr>
      <w:fldChar w:fldCharType="end"/>
    </w:r>
  </w:p>
  <w:p w:rsidR="00017308" w:rsidRDefault="0001730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308" w:rsidRDefault="00017308" w:rsidP="00816F96">
    <w:pPr>
      <w:pStyle w:val="Footer"/>
      <w:ind w:right="360"/>
      <w:jc w:val="both"/>
      <w:rPr>
        <w:rFonts w:ascii="SimSun" w:hAnsi="SimSun" w:hint="eastAsia"/>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06D5" w:rsidRDefault="008806D5" w:rsidP="00FF0AAD">
      <w:r>
        <w:separator/>
      </w:r>
    </w:p>
  </w:footnote>
  <w:footnote w:type="continuationSeparator" w:id="0">
    <w:p w:rsidR="008806D5" w:rsidRDefault="008806D5"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308" w:rsidRDefault="00017308">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D4C03"/>
    <w:multiLevelType w:val="hybridMultilevel"/>
    <w:tmpl w:val="515A7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934E67"/>
    <w:multiLevelType w:val="hybridMultilevel"/>
    <w:tmpl w:val="0ACC7F1A"/>
    <w:lvl w:ilvl="0" w:tplc="0409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EB263F4"/>
    <w:multiLevelType w:val="hybridMultilevel"/>
    <w:tmpl w:val="A12EC864"/>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4">
    <w:nsid w:val="13FD1267"/>
    <w:multiLevelType w:val="hybridMultilevel"/>
    <w:tmpl w:val="66C02C8E"/>
    <w:lvl w:ilvl="0" w:tplc="EFFE7198">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52C5FBF"/>
    <w:multiLevelType w:val="hybridMultilevel"/>
    <w:tmpl w:val="FF22569A"/>
    <w:lvl w:ilvl="0" w:tplc="04090003">
      <w:start w:val="1"/>
      <w:numFmt w:val="bullet"/>
      <w:lvlText w:val="o"/>
      <w:lvlJc w:val="left"/>
      <w:pPr>
        <w:ind w:left="1080" w:hanging="360"/>
      </w:pPr>
      <w:rPr>
        <w:rFonts w:ascii="Courier New" w:hAnsi="Courier New" w:cs="Courier New" w:hint="default"/>
      </w:rPr>
    </w:lvl>
    <w:lvl w:ilvl="1" w:tplc="8AEC2328">
      <w:start w:val="1"/>
      <w:numFmt w:val="bullet"/>
      <w:lvlText w:val="o"/>
      <w:lvlJc w:val="left"/>
      <w:pPr>
        <w:ind w:left="1800" w:hanging="360"/>
      </w:pPr>
      <w:rPr>
        <w:rFonts w:ascii="Courier New" w:hAnsi="Courier New" w:cs="Courier New" w:hint="default"/>
      </w:rPr>
    </w:lvl>
    <w:lvl w:ilvl="2" w:tplc="16587B0C" w:tentative="1">
      <w:start w:val="1"/>
      <w:numFmt w:val="bullet"/>
      <w:lvlText w:val=""/>
      <w:lvlJc w:val="left"/>
      <w:pPr>
        <w:ind w:left="2520" w:hanging="360"/>
      </w:pPr>
      <w:rPr>
        <w:rFonts w:ascii="Wingdings" w:hAnsi="Wingdings" w:hint="default"/>
      </w:rPr>
    </w:lvl>
    <w:lvl w:ilvl="3" w:tplc="0DDE6438" w:tentative="1">
      <w:start w:val="1"/>
      <w:numFmt w:val="bullet"/>
      <w:lvlText w:val=""/>
      <w:lvlJc w:val="left"/>
      <w:pPr>
        <w:ind w:left="3240" w:hanging="360"/>
      </w:pPr>
      <w:rPr>
        <w:rFonts w:ascii="Symbol" w:hAnsi="Symbol" w:hint="default"/>
      </w:rPr>
    </w:lvl>
    <w:lvl w:ilvl="4" w:tplc="54141962" w:tentative="1">
      <w:start w:val="1"/>
      <w:numFmt w:val="bullet"/>
      <w:lvlText w:val="o"/>
      <w:lvlJc w:val="left"/>
      <w:pPr>
        <w:ind w:left="3960" w:hanging="360"/>
      </w:pPr>
      <w:rPr>
        <w:rFonts w:ascii="Courier New" w:hAnsi="Courier New" w:cs="Courier New" w:hint="default"/>
      </w:rPr>
    </w:lvl>
    <w:lvl w:ilvl="5" w:tplc="291A40BA" w:tentative="1">
      <w:start w:val="1"/>
      <w:numFmt w:val="bullet"/>
      <w:lvlText w:val=""/>
      <w:lvlJc w:val="left"/>
      <w:pPr>
        <w:ind w:left="4680" w:hanging="360"/>
      </w:pPr>
      <w:rPr>
        <w:rFonts w:ascii="Wingdings" w:hAnsi="Wingdings" w:hint="default"/>
      </w:rPr>
    </w:lvl>
    <w:lvl w:ilvl="6" w:tplc="977AD2B4" w:tentative="1">
      <w:start w:val="1"/>
      <w:numFmt w:val="bullet"/>
      <w:lvlText w:val=""/>
      <w:lvlJc w:val="left"/>
      <w:pPr>
        <w:ind w:left="5400" w:hanging="360"/>
      </w:pPr>
      <w:rPr>
        <w:rFonts w:ascii="Symbol" w:hAnsi="Symbol" w:hint="default"/>
      </w:rPr>
    </w:lvl>
    <w:lvl w:ilvl="7" w:tplc="C272084A" w:tentative="1">
      <w:start w:val="1"/>
      <w:numFmt w:val="bullet"/>
      <w:lvlText w:val="o"/>
      <w:lvlJc w:val="left"/>
      <w:pPr>
        <w:ind w:left="6120" w:hanging="360"/>
      </w:pPr>
      <w:rPr>
        <w:rFonts w:ascii="Courier New" w:hAnsi="Courier New" w:cs="Courier New" w:hint="default"/>
      </w:rPr>
    </w:lvl>
    <w:lvl w:ilvl="8" w:tplc="6632E2C6" w:tentative="1">
      <w:start w:val="1"/>
      <w:numFmt w:val="bullet"/>
      <w:lvlText w:val=""/>
      <w:lvlJc w:val="left"/>
      <w:pPr>
        <w:ind w:left="6840" w:hanging="360"/>
      </w:pPr>
      <w:rPr>
        <w:rFonts w:ascii="Wingdings" w:hAnsi="Wingdings" w:hint="default"/>
      </w:rPr>
    </w:lvl>
  </w:abstractNum>
  <w:abstractNum w:abstractNumId="6">
    <w:nsid w:val="169B700E"/>
    <w:multiLevelType w:val="hybridMultilevel"/>
    <w:tmpl w:val="387AF730"/>
    <w:lvl w:ilvl="0" w:tplc="2A66F54C">
      <w:start w:val="1"/>
      <w:numFmt w:val="decimal"/>
      <w:lvlText w:val="[%1]"/>
      <w:lvlJc w:val="left"/>
      <w:pPr>
        <w:ind w:left="808" w:hanging="360"/>
      </w:pPr>
      <w:rPr>
        <w:rFonts w:hint="default"/>
      </w:rPr>
    </w:lvl>
    <w:lvl w:ilvl="1" w:tplc="08090019">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7">
    <w:nsid w:val="1AFF5C59"/>
    <w:multiLevelType w:val="hybridMultilevel"/>
    <w:tmpl w:val="1B2A6274"/>
    <w:lvl w:ilvl="0" w:tplc="F710AE1E">
      <w:start w:val="831"/>
      <w:numFmt w:val="bullet"/>
      <w:lvlText w:val="–"/>
      <w:lvlJc w:val="left"/>
      <w:pPr>
        <w:ind w:left="840" w:hanging="420"/>
      </w:pPr>
      <w:rPr>
        <w:rFonts w:ascii="Arial" w:hAnsi="Aria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234078AC"/>
    <w:multiLevelType w:val="hybridMultilevel"/>
    <w:tmpl w:val="7C5AED70"/>
    <w:lvl w:ilvl="0" w:tplc="0409000B">
      <w:start w:val="1"/>
      <w:numFmt w:val="bullet"/>
      <w:lvlText w:val=""/>
      <w:lvlJc w:val="left"/>
      <w:pPr>
        <w:ind w:left="580" w:hanging="360"/>
      </w:pPr>
      <w:rPr>
        <w:rFonts w:ascii="Wingdings" w:hAnsi="Wingding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9">
    <w:nsid w:val="27F4768D"/>
    <w:multiLevelType w:val="hybridMultilevel"/>
    <w:tmpl w:val="9F0E7B98"/>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8D66383"/>
    <w:multiLevelType w:val="hybridMultilevel"/>
    <w:tmpl w:val="C6D0C752"/>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88D4161"/>
    <w:multiLevelType w:val="hybridMultilevel"/>
    <w:tmpl w:val="AA2CDF0A"/>
    <w:lvl w:ilvl="0" w:tplc="041D0005">
      <w:start w:val="1"/>
      <w:numFmt w:val="bullet"/>
      <w:lvlText w:val=""/>
      <w:lvlJc w:val="left"/>
      <w:pPr>
        <w:ind w:left="1440" w:hanging="360"/>
      </w:pPr>
      <w:rPr>
        <w:rFonts w:ascii="Wingdings" w:hAnsi="Wingdings" w:hint="default"/>
      </w:rPr>
    </w:lvl>
    <w:lvl w:ilvl="1" w:tplc="8AEC2328">
      <w:start w:val="1"/>
      <w:numFmt w:val="bullet"/>
      <w:lvlText w:val="o"/>
      <w:lvlJc w:val="left"/>
      <w:pPr>
        <w:ind w:left="2160" w:hanging="360"/>
      </w:pPr>
      <w:rPr>
        <w:rFonts w:ascii="Courier New" w:hAnsi="Courier New" w:cs="Courier New" w:hint="default"/>
      </w:rPr>
    </w:lvl>
    <w:lvl w:ilvl="2" w:tplc="16587B0C" w:tentative="1">
      <w:start w:val="1"/>
      <w:numFmt w:val="bullet"/>
      <w:lvlText w:val=""/>
      <w:lvlJc w:val="left"/>
      <w:pPr>
        <w:ind w:left="2880" w:hanging="360"/>
      </w:pPr>
      <w:rPr>
        <w:rFonts w:ascii="Wingdings" w:hAnsi="Wingdings" w:hint="default"/>
      </w:rPr>
    </w:lvl>
    <w:lvl w:ilvl="3" w:tplc="0DDE6438" w:tentative="1">
      <w:start w:val="1"/>
      <w:numFmt w:val="bullet"/>
      <w:lvlText w:val=""/>
      <w:lvlJc w:val="left"/>
      <w:pPr>
        <w:ind w:left="3600" w:hanging="360"/>
      </w:pPr>
      <w:rPr>
        <w:rFonts w:ascii="Symbol" w:hAnsi="Symbol" w:hint="default"/>
      </w:rPr>
    </w:lvl>
    <w:lvl w:ilvl="4" w:tplc="54141962" w:tentative="1">
      <w:start w:val="1"/>
      <w:numFmt w:val="bullet"/>
      <w:lvlText w:val="o"/>
      <w:lvlJc w:val="left"/>
      <w:pPr>
        <w:ind w:left="4320" w:hanging="360"/>
      </w:pPr>
      <w:rPr>
        <w:rFonts w:ascii="Courier New" w:hAnsi="Courier New" w:cs="Courier New" w:hint="default"/>
      </w:rPr>
    </w:lvl>
    <w:lvl w:ilvl="5" w:tplc="291A40BA" w:tentative="1">
      <w:start w:val="1"/>
      <w:numFmt w:val="bullet"/>
      <w:lvlText w:val=""/>
      <w:lvlJc w:val="left"/>
      <w:pPr>
        <w:ind w:left="5040" w:hanging="360"/>
      </w:pPr>
      <w:rPr>
        <w:rFonts w:ascii="Wingdings" w:hAnsi="Wingdings" w:hint="default"/>
      </w:rPr>
    </w:lvl>
    <w:lvl w:ilvl="6" w:tplc="977AD2B4" w:tentative="1">
      <w:start w:val="1"/>
      <w:numFmt w:val="bullet"/>
      <w:lvlText w:val=""/>
      <w:lvlJc w:val="left"/>
      <w:pPr>
        <w:ind w:left="5760" w:hanging="360"/>
      </w:pPr>
      <w:rPr>
        <w:rFonts w:ascii="Symbol" w:hAnsi="Symbol" w:hint="default"/>
      </w:rPr>
    </w:lvl>
    <w:lvl w:ilvl="7" w:tplc="C272084A" w:tentative="1">
      <w:start w:val="1"/>
      <w:numFmt w:val="bullet"/>
      <w:lvlText w:val="o"/>
      <w:lvlJc w:val="left"/>
      <w:pPr>
        <w:ind w:left="6480" w:hanging="360"/>
      </w:pPr>
      <w:rPr>
        <w:rFonts w:ascii="Courier New" w:hAnsi="Courier New" w:cs="Courier New" w:hint="default"/>
      </w:rPr>
    </w:lvl>
    <w:lvl w:ilvl="8" w:tplc="6632E2C6" w:tentative="1">
      <w:start w:val="1"/>
      <w:numFmt w:val="bullet"/>
      <w:lvlText w:val=""/>
      <w:lvlJc w:val="left"/>
      <w:pPr>
        <w:ind w:left="7200" w:hanging="360"/>
      </w:pPr>
      <w:rPr>
        <w:rFonts w:ascii="Wingdings" w:hAnsi="Wingdings" w:hint="default"/>
      </w:rPr>
    </w:lvl>
  </w:abstractNum>
  <w:abstractNum w:abstractNumId="14">
    <w:nsid w:val="38C34D57"/>
    <w:multiLevelType w:val="hybridMultilevel"/>
    <w:tmpl w:val="AE488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21">
    <w:nsid w:val="4D8B04FB"/>
    <w:multiLevelType w:val="hybridMultilevel"/>
    <w:tmpl w:val="5F940816"/>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0145338"/>
    <w:multiLevelType w:val="hybridMultilevel"/>
    <w:tmpl w:val="40AC76C4"/>
    <w:lvl w:ilvl="0" w:tplc="0409000B">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5">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nsid w:val="5692637A"/>
    <w:multiLevelType w:val="hybridMultilevel"/>
    <w:tmpl w:val="33F49710"/>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5">
    <w:nsid w:val="5F521A3E"/>
    <w:multiLevelType w:val="multilevel"/>
    <w:tmpl w:val="BA48149A"/>
    <w:lvl w:ilvl="0">
      <w:start w:val="1"/>
      <w:numFmt w:val="decimal"/>
      <w:lvlText w:val="%1."/>
      <w:lvlJc w:val="left"/>
      <w:pPr>
        <w:ind w:left="644"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61901592"/>
    <w:multiLevelType w:val="hybridMultilevel"/>
    <w:tmpl w:val="935CC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090BC5"/>
    <w:multiLevelType w:val="hybridMultilevel"/>
    <w:tmpl w:val="E1C03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61199C"/>
    <w:multiLevelType w:val="hybridMultilevel"/>
    <w:tmpl w:val="FEF81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E11A2B"/>
    <w:multiLevelType w:val="hybridMultilevel"/>
    <w:tmpl w:val="32F2CE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33">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11"/>
  </w:num>
  <w:num w:numId="3">
    <w:abstractNumId w:val="16"/>
  </w:num>
  <w:num w:numId="4">
    <w:abstractNumId w:val="12"/>
  </w:num>
  <w:num w:numId="5">
    <w:abstractNumId w:val="18"/>
  </w:num>
  <w:num w:numId="6">
    <w:abstractNumId w:val="34"/>
  </w:num>
  <w:num w:numId="7">
    <w:abstractNumId w:val="19"/>
  </w:num>
  <w:num w:numId="8">
    <w:abstractNumId w:val="17"/>
  </w:num>
  <w:num w:numId="9">
    <w:abstractNumId w:val="31"/>
  </w:num>
  <w:num w:numId="10">
    <w:abstractNumId w:val="15"/>
  </w:num>
  <w:num w:numId="11">
    <w:abstractNumId w:val="6"/>
  </w:num>
  <w:num w:numId="12">
    <w:abstractNumId w:val="25"/>
  </w:num>
  <w:num w:numId="13">
    <w:abstractNumId w:val="10"/>
  </w:num>
  <w:num w:numId="14">
    <w:abstractNumId w:val="2"/>
  </w:num>
  <w:num w:numId="15">
    <w:abstractNumId w:val="30"/>
  </w:num>
  <w:num w:numId="16">
    <w:abstractNumId w:val="28"/>
  </w:num>
  <w:num w:numId="17">
    <w:abstractNumId w:val="32"/>
  </w:num>
  <w:num w:numId="18">
    <w:abstractNumId w:val="27"/>
  </w:num>
  <w:num w:numId="19">
    <w:abstractNumId w:val="5"/>
  </w:num>
  <w:num w:numId="20">
    <w:abstractNumId w:val="1"/>
  </w:num>
  <w:num w:numId="21">
    <w:abstractNumId w:val="29"/>
  </w:num>
  <w:num w:numId="22">
    <w:abstractNumId w:val="13"/>
  </w:num>
  <w:num w:numId="23">
    <w:abstractNumId w:val="14"/>
  </w:num>
  <w:num w:numId="24">
    <w:abstractNumId w:val="26"/>
  </w:num>
  <w:num w:numId="25">
    <w:abstractNumId w:val="21"/>
  </w:num>
  <w:num w:numId="26">
    <w:abstractNumId w:val="23"/>
  </w:num>
  <w:num w:numId="27">
    <w:abstractNumId w:val="9"/>
  </w:num>
  <w:num w:numId="28">
    <w:abstractNumId w:val="3"/>
  </w:num>
  <w:num w:numId="29">
    <w:abstractNumId w:val="22"/>
  </w:num>
  <w:num w:numId="30">
    <w:abstractNumId w:val="24"/>
  </w:num>
  <w:num w:numId="31">
    <w:abstractNumId w:val="20"/>
  </w:num>
  <w:num w:numId="32">
    <w:abstractNumId w:val="7"/>
  </w:num>
  <w:num w:numId="33">
    <w:abstractNumId w:val="8"/>
  </w:num>
  <w:num w:numId="34">
    <w:abstractNumId w:val="0"/>
  </w:num>
  <w:num w:numId="35">
    <w:abstractNumId w:val="4"/>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595970"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D4E"/>
    <w:rsid w:val="00002B97"/>
    <w:rsid w:val="00005274"/>
    <w:rsid w:val="00005A6E"/>
    <w:rsid w:val="00007324"/>
    <w:rsid w:val="000079F8"/>
    <w:rsid w:val="000128FB"/>
    <w:rsid w:val="00012930"/>
    <w:rsid w:val="00012E39"/>
    <w:rsid w:val="00014184"/>
    <w:rsid w:val="00014189"/>
    <w:rsid w:val="000154C5"/>
    <w:rsid w:val="0001696F"/>
    <w:rsid w:val="00017308"/>
    <w:rsid w:val="00022336"/>
    <w:rsid w:val="00023D9C"/>
    <w:rsid w:val="00027F39"/>
    <w:rsid w:val="00030BAF"/>
    <w:rsid w:val="000314BE"/>
    <w:rsid w:val="00032720"/>
    <w:rsid w:val="00033728"/>
    <w:rsid w:val="0003612C"/>
    <w:rsid w:val="00037F62"/>
    <w:rsid w:val="000411C0"/>
    <w:rsid w:val="00042BCC"/>
    <w:rsid w:val="00042C3D"/>
    <w:rsid w:val="00043F7C"/>
    <w:rsid w:val="0004416F"/>
    <w:rsid w:val="0004434E"/>
    <w:rsid w:val="000451BC"/>
    <w:rsid w:val="000467F0"/>
    <w:rsid w:val="0005057D"/>
    <w:rsid w:val="00051E38"/>
    <w:rsid w:val="00052096"/>
    <w:rsid w:val="00052635"/>
    <w:rsid w:val="00052795"/>
    <w:rsid w:val="00053328"/>
    <w:rsid w:val="000533F1"/>
    <w:rsid w:val="0005443E"/>
    <w:rsid w:val="00055C73"/>
    <w:rsid w:val="00056071"/>
    <w:rsid w:val="00057381"/>
    <w:rsid w:val="00060703"/>
    <w:rsid w:val="00060E49"/>
    <w:rsid w:val="000624CA"/>
    <w:rsid w:val="00062FE2"/>
    <w:rsid w:val="000636B8"/>
    <w:rsid w:val="000648AB"/>
    <w:rsid w:val="00064F94"/>
    <w:rsid w:val="000650EB"/>
    <w:rsid w:val="00065240"/>
    <w:rsid w:val="00065E37"/>
    <w:rsid w:val="0006799E"/>
    <w:rsid w:val="00070277"/>
    <w:rsid w:val="000703F3"/>
    <w:rsid w:val="0007080B"/>
    <w:rsid w:val="00070B5E"/>
    <w:rsid w:val="00070EBD"/>
    <w:rsid w:val="0007169D"/>
    <w:rsid w:val="00072A71"/>
    <w:rsid w:val="00072A74"/>
    <w:rsid w:val="000732A0"/>
    <w:rsid w:val="000737BB"/>
    <w:rsid w:val="0007382B"/>
    <w:rsid w:val="0007415F"/>
    <w:rsid w:val="00074665"/>
    <w:rsid w:val="00075199"/>
    <w:rsid w:val="00075955"/>
    <w:rsid w:val="00075E59"/>
    <w:rsid w:val="00076024"/>
    <w:rsid w:val="000765DA"/>
    <w:rsid w:val="000773F0"/>
    <w:rsid w:val="00083F98"/>
    <w:rsid w:val="00085AEF"/>
    <w:rsid w:val="00086A29"/>
    <w:rsid w:val="00087E97"/>
    <w:rsid w:val="0009032E"/>
    <w:rsid w:val="00090ED8"/>
    <w:rsid w:val="00091B52"/>
    <w:rsid w:val="00092939"/>
    <w:rsid w:val="00093702"/>
    <w:rsid w:val="00093ACD"/>
    <w:rsid w:val="0009455A"/>
    <w:rsid w:val="00094E12"/>
    <w:rsid w:val="00095947"/>
    <w:rsid w:val="00097C49"/>
    <w:rsid w:val="00097D0D"/>
    <w:rsid w:val="000A01F5"/>
    <w:rsid w:val="000A0BCF"/>
    <w:rsid w:val="000A0FAF"/>
    <w:rsid w:val="000A27B9"/>
    <w:rsid w:val="000A2AC7"/>
    <w:rsid w:val="000A2EBC"/>
    <w:rsid w:val="000A31DC"/>
    <w:rsid w:val="000A32E0"/>
    <w:rsid w:val="000A374A"/>
    <w:rsid w:val="000A404B"/>
    <w:rsid w:val="000A4343"/>
    <w:rsid w:val="000A7590"/>
    <w:rsid w:val="000B0266"/>
    <w:rsid w:val="000B2162"/>
    <w:rsid w:val="000B2497"/>
    <w:rsid w:val="000B2582"/>
    <w:rsid w:val="000B29CE"/>
    <w:rsid w:val="000B39A7"/>
    <w:rsid w:val="000B6201"/>
    <w:rsid w:val="000B6F82"/>
    <w:rsid w:val="000B7610"/>
    <w:rsid w:val="000C0156"/>
    <w:rsid w:val="000C19E7"/>
    <w:rsid w:val="000C1E08"/>
    <w:rsid w:val="000C5673"/>
    <w:rsid w:val="000C70D8"/>
    <w:rsid w:val="000C7D3C"/>
    <w:rsid w:val="000D1D70"/>
    <w:rsid w:val="000D21E9"/>
    <w:rsid w:val="000D231C"/>
    <w:rsid w:val="000D4DE4"/>
    <w:rsid w:val="000D5FF3"/>
    <w:rsid w:val="000D65D7"/>
    <w:rsid w:val="000D7554"/>
    <w:rsid w:val="000D76BB"/>
    <w:rsid w:val="000D76EA"/>
    <w:rsid w:val="000D793E"/>
    <w:rsid w:val="000D7BBC"/>
    <w:rsid w:val="000E1519"/>
    <w:rsid w:val="000E3133"/>
    <w:rsid w:val="000E3FBD"/>
    <w:rsid w:val="000E5B92"/>
    <w:rsid w:val="000E6B9E"/>
    <w:rsid w:val="000F222D"/>
    <w:rsid w:val="000F48D5"/>
    <w:rsid w:val="000F4A91"/>
    <w:rsid w:val="000F586D"/>
    <w:rsid w:val="000F61E8"/>
    <w:rsid w:val="000F6624"/>
    <w:rsid w:val="000F694F"/>
    <w:rsid w:val="000F6CDC"/>
    <w:rsid w:val="000F7430"/>
    <w:rsid w:val="000F7BD9"/>
    <w:rsid w:val="00100289"/>
    <w:rsid w:val="00100F0D"/>
    <w:rsid w:val="0010212F"/>
    <w:rsid w:val="0010414E"/>
    <w:rsid w:val="00104BBC"/>
    <w:rsid w:val="001055E0"/>
    <w:rsid w:val="0010729D"/>
    <w:rsid w:val="001072DE"/>
    <w:rsid w:val="00112AC8"/>
    <w:rsid w:val="00112CF0"/>
    <w:rsid w:val="00113B35"/>
    <w:rsid w:val="00113BF9"/>
    <w:rsid w:val="0011497E"/>
    <w:rsid w:val="00114F67"/>
    <w:rsid w:val="00115BFE"/>
    <w:rsid w:val="00116121"/>
    <w:rsid w:val="00116183"/>
    <w:rsid w:val="0011709C"/>
    <w:rsid w:val="001206D7"/>
    <w:rsid w:val="001215D7"/>
    <w:rsid w:val="00122687"/>
    <w:rsid w:val="0012297E"/>
    <w:rsid w:val="00122AB9"/>
    <w:rsid w:val="001231EC"/>
    <w:rsid w:val="001235D5"/>
    <w:rsid w:val="00126145"/>
    <w:rsid w:val="001277C7"/>
    <w:rsid w:val="00127D7C"/>
    <w:rsid w:val="001302A6"/>
    <w:rsid w:val="001318B4"/>
    <w:rsid w:val="00131AA2"/>
    <w:rsid w:val="00131B5F"/>
    <w:rsid w:val="00131C58"/>
    <w:rsid w:val="00132565"/>
    <w:rsid w:val="00134105"/>
    <w:rsid w:val="00135DF6"/>
    <w:rsid w:val="00136836"/>
    <w:rsid w:val="00137821"/>
    <w:rsid w:val="00140B9C"/>
    <w:rsid w:val="00140F02"/>
    <w:rsid w:val="00141DF0"/>
    <w:rsid w:val="00143B88"/>
    <w:rsid w:val="00143E06"/>
    <w:rsid w:val="00143EA0"/>
    <w:rsid w:val="001442F6"/>
    <w:rsid w:val="00145121"/>
    <w:rsid w:val="00146128"/>
    <w:rsid w:val="00146989"/>
    <w:rsid w:val="0014740A"/>
    <w:rsid w:val="001475A2"/>
    <w:rsid w:val="001477A7"/>
    <w:rsid w:val="00151481"/>
    <w:rsid w:val="00153077"/>
    <w:rsid w:val="00153536"/>
    <w:rsid w:val="001539E9"/>
    <w:rsid w:val="00153A0B"/>
    <w:rsid w:val="00154732"/>
    <w:rsid w:val="00154D44"/>
    <w:rsid w:val="00157B19"/>
    <w:rsid w:val="00157E2E"/>
    <w:rsid w:val="00160989"/>
    <w:rsid w:val="00161014"/>
    <w:rsid w:val="00162B22"/>
    <w:rsid w:val="00164066"/>
    <w:rsid w:val="00165753"/>
    <w:rsid w:val="0016677D"/>
    <w:rsid w:val="001667BB"/>
    <w:rsid w:val="0016721B"/>
    <w:rsid w:val="00171139"/>
    <w:rsid w:val="00171C4F"/>
    <w:rsid w:val="001721E6"/>
    <w:rsid w:val="0017230A"/>
    <w:rsid w:val="0017375B"/>
    <w:rsid w:val="001742D5"/>
    <w:rsid w:val="00174436"/>
    <w:rsid w:val="001744C4"/>
    <w:rsid w:val="00175566"/>
    <w:rsid w:val="001767E6"/>
    <w:rsid w:val="00176BA3"/>
    <w:rsid w:val="00177A4D"/>
    <w:rsid w:val="0018036E"/>
    <w:rsid w:val="00180466"/>
    <w:rsid w:val="00180E90"/>
    <w:rsid w:val="00181456"/>
    <w:rsid w:val="001825DA"/>
    <w:rsid w:val="00184180"/>
    <w:rsid w:val="001841A8"/>
    <w:rsid w:val="00184496"/>
    <w:rsid w:val="00184A6D"/>
    <w:rsid w:val="00184A8E"/>
    <w:rsid w:val="00184AF5"/>
    <w:rsid w:val="00185733"/>
    <w:rsid w:val="00190A8D"/>
    <w:rsid w:val="00194BDB"/>
    <w:rsid w:val="00196645"/>
    <w:rsid w:val="00196BE4"/>
    <w:rsid w:val="00197EB7"/>
    <w:rsid w:val="001A0574"/>
    <w:rsid w:val="001A0811"/>
    <w:rsid w:val="001A18EC"/>
    <w:rsid w:val="001A23F8"/>
    <w:rsid w:val="001A2F99"/>
    <w:rsid w:val="001A502F"/>
    <w:rsid w:val="001A5421"/>
    <w:rsid w:val="001A6491"/>
    <w:rsid w:val="001A6A49"/>
    <w:rsid w:val="001A6F17"/>
    <w:rsid w:val="001B007F"/>
    <w:rsid w:val="001B00A5"/>
    <w:rsid w:val="001B21A1"/>
    <w:rsid w:val="001B2BF3"/>
    <w:rsid w:val="001B2CDE"/>
    <w:rsid w:val="001B48B3"/>
    <w:rsid w:val="001B5912"/>
    <w:rsid w:val="001B7DBD"/>
    <w:rsid w:val="001C05BA"/>
    <w:rsid w:val="001C06FA"/>
    <w:rsid w:val="001C12F2"/>
    <w:rsid w:val="001C1406"/>
    <w:rsid w:val="001C22D4"/>
    <w:rsid w:val="001C3DF5"/>
    <w:rsid w:val="001C40B4"/>
    <w:rsid w:val="001C458A"/>
    <w:rsid w:val="001C45C0"/>
    <w:rsid w:val="001D0726"/>
    <w:rsid w:val="001D0A42"/>
    <w:rsid w:val="001D4ADA"/>
    <w:rsid w:val="001D57A2"/>
    <w:rsid w:val="001D5B00"/>
    <w:rsid w:val="001D5F96"/>
    <w:rsid w:val="001D6048"/>
    <w:rsid w:val="001D66D7"/>
    <w:rsid w:val="001D6D50"/>
    <w:rsid w:val="001D6E17"/>
    <w:rsid w:val="001D7738"/>
    <w:rsid w:val="001E0A05"/>
    <w:rsid w:val="001E116B"/>
    <w:rsid w:val="001E29C0"/>
    <w:rsid w:val="001E6124"/>
    <w:rsid w:val="001E6A20"/>
    <w:rsid w:val="001F0617"/>
    <w:rsid w:val="001F07A9"/>
    <w:rsid w:val="001F1783"/>
    <w:rsid w:val="001F276B"/>
    <w:rsid w:val="001F4D79"/>
    <w:rsid w:val="001F5B0C"/>
    <w:rsid w:val="001F6825"/>
    <w:rsid w:val="001F7773"/>
    <w:rsid w:val="00201729"/>
    <w:rsid w:val="00201C97"/>
    <w:rsid w:val="0020218A"/>
    <w:rsid w:val="00202467"/>
    <w:rsid w:val="00204FE8"/>
    <w:rsid w:val="00205D83"/>
    <w:rsid w:val="0020686F"/>
    <w:rsid w:val="00206AE9"/>
    <w:rsid w:val="002075D1"/>
    <w:rsid w:val="00207A50"/>
    <w:rsid w:val="00212510"/>
    <w:rsid w:val="0021415D"/>
    <w:rsid w:val="0021534F"/>
    <w:rsid w:val="00217556"/>
    <w:rsid w:val="002175BA"/>
    <w:rsid w:val="00220CE0"/>
    <w:rsid w:val="00221120"/>
    <w:rsid w:val="00222F98"/>
    <w:rsid w:val="00223E00"/>
    <w:rsid w:val="0022453B"/>
    <w:rsid w:val="00224645"/>
    <w:rsid w:val="0022597F"/>
    <w:rsid w:val="002263C5"/>
    <w:rsid w:val="00226D96"/>
    <w:rsid w:val="0022720E"/>
    <w:rsid w:val="002277CC"/>
    <w:rsid w:val="00227948"/>
    <w:rsid w:val="00227FD4"/>
    <w:rsid w:val="0023064C"/>
    <w:rsid w:val="00230772"/>
    <w:rsid w:val="00230C5B"/>
    <w:rsid w:val="002319D7"/>
    <w:rsid w:val="00233288"/>
    <w:rsid w:val="002333B7"/>
    <w:rsid w:val="00233818"/>
    <w:rsid w:val="002341D4"/>
    <w:rsid w:val="002343A7"/>
    <w:rsid w:val="002363A9"/>
    <w:rsid w:val="002364D1"/>
    <w:rsid w:val="002400B0"/>
    <w:rsid w:val="00242766"/>
    <w:rsid w:val="00244728"/>
    <w:rsid w:val="00244D42"/>
    <w:rsid w:val="0024567E"/>
    <w:rsid w:val="00245DC5"/>
    <w:rsid w:val="00246EDF"/>
    <w:rsid w:val="00247311"/>
    <w:rsid w:val="00247BD7"/>
    <w:rsid w:val="002519B7"/>
    <w:rsid w:val="00251E7C"/>
    <w:rsid w:val="00252E45"/>
    <w:rsid w:val="002530C6"/>
    <w:rsid w:val="0025650E"/>
    <w:rsid w:val="002576FD"/>
    <w:rsid w:val="0026326B"/>
    <w:rsid w:val="0026381B"/>
    <w:rsid w:val="002643C3"/>
    <w:rsid w:val="00266958"/>
    <w:rsid w:val="00266EE7"/>
    <w:rsid w:val="00267558"/>
    <w:rsid w:val="0026790F"/>
    <w:rsid w:val="00267946"/>
    <w:rsid w:val="00272467"/>
    <w:rsid w:val="0027255D"/>
    <w:rsid w:val="00273A29"/>
    <w:rsid w:val="00274701"/>
    <w:rsid w:val="00275CFE"/>
    <w:rsid w:val="00275F7C"/>
    <w:rsid w:val="0027765B"/>
    <w:rsid w:val="002779F4"/>
    <w:rsid w:val="00277D19"/>
    <w:rsid w:val="00280DC7"/>
    <w:rsid w:val="00281707"/>
    <w:rsid w:val="00282A11"/>
    <w:rsid w:val="00282AA4"/>
    <w:rsid w:val="00283F82"/>
    <w:rsid w:val="00284B7D"/>
    <w:rsid w:val="0028512D"/>
    <w:rsid w:val="00285137"/>
    <w:rsid w:val="0028575C"/>
    <w:rsid w:val="00285AF8"/>
    <w:rsid w:val="00286183"/>
    <w:rsid w:val="00290CF4"/>
    <w:rsid w:val="0029127B"/>
    <w:rsid w:val="00291327"/>
    <w:rsid w:val="00292061"/>
    <w:rsid w:val="0029298C"/>
    <w:rsid w:val="0029305F"/>
    <w:rsid w:val="002938A5"/>
    <w:rsid w:val="00295775"/>
    <w:rsid w:val="002959F6"/>
    <w:rsid w:val="002960F4"/>
    <w:rsid w:val="0029662E"/>
    <w:rsid w:val="002970EA"/>
    <w:rsid w:val="002973B9"/>
    <w:rsid w:val="002973C9"/>
    <w:rsid w:val="002974D4"/>
    <w:rsid w:val="002A1865"/>
    <w:rsid w:val="002A2FA8"/>
    <w:rsid w:val="002A3C50"/>
    <w:rsid w:val="002A3E5A"/>
    <w:rsid w:val="002A54A2"/>
    <w:rsid w:val="002A7BF9"/>
    <w:rsid w:val="002B09BE"/>
    <w:rsid w:val="002B1187"/>
    <w:rsid w:val="002B2203"/>
    <w:rsid w:val="002B2CDB"/>
    <w:rsid w:val="002B40F3"/>
    <w:rsid w:val="002B47DF"/>
    <w:rsid w:val="002B4D7C"/>
    <w:rsid w:val="002B661D"/>
    <w:rsid w:val="002B66F7"/>
    <w:rsid w:val="002B6A52"/>
    <w:rsid w:val="002B6BAA"/>
    <w:rsid w:val="002C081C"/>
    <w:rsid w:val="002C09CF"/>
    <w:rsid w:val="002C1BF6"/>
    <w:rsid w:val="002C368B"/>
    <w:rsid w:val="002C370A"/>
    <w:rsid w:val="002C3C80"/>
    <w:rsid w:val="002C40E2"/>
    <w:rsid w:val="002C62E9"/>
    <w:rsid w:val="002C7A5D"/>
    <w:rsid w:val="002C7B26"/>
    <w:rsid w:val="002D02D4"/>
    <w:rsid w:val="002D10A8"/>
    <w:rsid w:val="002D1BDB"/>
    <w:rsid w:val="002D35FA"/>
    <w:rsid w:val="002D3B82"/>
    <w:rsid w:val="002D4FD2"/>
    <w:rsid w:val="002D5584"/>
    <w:rsid w:val="002D670F"/>
    <w:rsid w:val="002D6B43"/>
    <w:rsid w:val="002D6B6C"/>
    <w:rsid w:val="002D714B"/>
    <w:rsid w:val="002D72EF"/>
    <w:rsid w:val="002E07E3"/>
    <w:rsid w:val="002E33C2"/>
    <w:rsid w:val="002E33D8"/>
    <w:rsid w:val="002E4990"/>
    <w:rsid w:val="002E4C97"/>
    <w:rsid w:val="002E59C8"/>
    <w:rsid w:val="002E794D"/>
    <w:rsid w:val="002E7B45"/>
    <w:rsid w:val="002E7E8D"/>
    <w:rsid w:val="002F0126"/>
    <w:rsid w:val="002F1C49"/>
    <w:rsid w:val="002F1ECC"/>
    <w:rsid w:val="002F2FF2"/>
    <w:rsid w:val="002F30D8"/>
    <w:rsid w:val="002F3759"/>
    <w:rsid w:val="002F3C3E"/>
    <w:rsid w:val="002F5517"/>
    <w:rsid w:val="002F63A8"/>
    <w:rsid w:val="002F6A5C"/>
    <w:rsid w:val="002F6BF2"/>
    <w:rsid w:val="002F7C7C"/>
    <w:rsid w:val="00304994"/>
    <w:rsid w:val="00305531"/>
    <w:rsid w:val="00305935"/>
    <w:rsid w:val="00305E8A"/>
    <w:rsid w:val="003102EE"/>
    <w:rsid w:val="00310A97"/>
    <w:rsid w:val="00310F79"/>
    <w:rsid w:val="003113B6"/>
    <w:rsid w:val="00311E3B"/>
    <w:rsid w:val="003128D3"/>
    <w:rsid w:val="00312C1A"/>
    <w:rsid w:val="00312D60"/>
    <w:rsid w:val="00312DD1"/>
    <w:rsid w:val="003139CD"/>
    <w:rsid w:val="00313E5D"/>
    <w:rsid w:val="003146B0"/>
    <w:rsid w:val="00314B1B"/>
    <w:rsid w:val="0031570F"/>
    <w:rsid w:val="003162A2"/>
    <w:rsid w:val="00320818"/>
    <w:rsid w:val="00323910"/>
    <w:rsid w:val="00323AC2"/>
    <w:rsid w:val="00324313"/>
    <w:rsid w:val="00324564"/>
    <w:rsid w:val="00325D04"/>
    <w:rsid w:val="0032665A"/>
    <w:rsid w:val="00326B92"/>
    <w:rsid w:val="003279FC"/>
    <w:rsid w:val="0033176D"/>
    <w:rsid w:val="003319E1"/>
    <w:rsid w:val="00331C94"/>
    <w:rsid w:val="00334DD9"/>
    <w:rsid w:val="00334E36"/>
    <w:rsid w:val="00336885"/>
    <w:rsid w:val="00337150"/>
    <w:rsid w:val="00337B21"/>
    <w:rsid w:val="00340516"/>
    <w:rsid w:val="003405F9"/>
    <w:rsid w:val="003417A5"/>
    <w:rsid w:val="00341B32"/>
    <w:rsid w:val="00341FA2"/>
    <w:rsid w:val="003443E4"/>
    <w:rsid w:val="00346CE0"/>
    <w:rsid w:val="00346DFF"/>
    <w:rsid w:val="00347F67"/>
    <w:rsid w:val="003504B5"/>
    <w:rsid w:val="00350583"/>
    <w:rsid w:val="00350B8B"/>
    <w:rsid w:val="0035288E"/>
    <w:rsid w:val="003533A7"/>
    <w:rsid w:val="003565AF"/>
    <w:rsid w:val="00356E80"/>
    <w:rsid w:val="00360683"/>
    <w:rsid w:val="003631E5"/>
    <w:rsid w:val="00364B22"/>
    <w:rsid w:val="00364C6F"/>
    <w:rsid w:val="00370089"/>
    <w:rsid w:val="003711F8"/>
    <w:rsid w:val="00371980"/>
    <w:rsid w:val="00373017"/>
    <w:rsid w:val="00373B81"/>
    <w:rsid w:val="0037521A"/>
    <w:rsid w:val="00375D57"/>
    <w:rsid w:val="00377306"/>
    <w:rsid w:val="00377A32"/>
    <w:rsid w:val="0038036B"/>
    <w:rsid w:val="00380D49"/>
    <w:rsid w:val="00381ADE"/>
    <w:rsid w:val="00383571"/>
    <w:rsid w:val="00385BC5"/>
    <w:rsid w:val="003864D7"/>
    <w:rsid w:val="00387774"/>
    <w:rsid w:val="00391673"/>
    <w:rsid w:val="00392106"/>
    <w:rsid w:val="0039276D"/>
    <w:rsid w:val="00392780"/>
    <w:rsid w:val="00392963"/>
    <w:rsid w:val="00393DB3"/>
    <w:rsid w:val="003946D4"/>
    <w:rsid w:val="00394E1E"/>
    <w:rsid w:val="00396973"/>
    <w:rsid w:val="00397115"/>
    <w:rsid w:val="003977A1"/>
    <w:rsid w:val="00397CC2"/>
    <w:rsid w:val="003A13E4"/>
    <w:rsid w:val="003A15B3"/>
    <w:rsid w:val="003A2A06"/>
    <w:rsid w:val="003A2C25"/>
    <w:rsid w:val="003A2F50"/>
    <w:rsid w:val="003A3800"/>
    <w:rsid w:val="003A4CF6"/>
    <w:rsid w:val="003A6500"/>
    <w:rsid w:val="003A6C83"/>
    <w:rsid w:val="003B1414"/>
    <w:rsid w:val="003B2274"/>
    <w:rsid w:val="003B3872"/>
    <w:rsid w:val="003B3883"/>
    <w:rsid w:val="003B40ED"/>
    <w:rsid w:val="003B46C8"/>
    <w:rsid w:val="003B4702"/>
    <w:rsid w:val="003B5CF4"/>
    <w:rsid w:val="003B668E"/>
    <w:rsid w:val="003B7FE7"/>
    <w:rsid w:val="003C18A9"/>
    <w:rsid w:val="003C361A"/>
    <w:rsid w:val="003C3674"/>
    <w:rsid w:val="003C3980"/>
    <w:rsid w:val="003C3FCC"/>
    <w:rsid w:val="003C70DA"/>
    <w:rsid w:val="003C7262"/>
    <w:rsid w:val="003D0207"/>
    <w:rsid w:val="003D02BF"/>
    <w:rsid w:val="003D1018"/>
    <w:rsid w:val="003D1556"/>
    <w:rsid w:val="003D1912"/>
    <w:rsid w:val="003D2D35"/>
    <w:rsid w:val="003D3730"/>
    <w:rsid w:val="003D3EA3"/>
    <w:rsid w:val="003D4CBE"/>
    <w:rsid w:val="003D4CD1"/>
    <w:rsid w:val="003D55F9"/>
    <w:rsid w:val="003D738C"/>
    <w:rsid w:val="003D7F75"/>
    <w:rsid w:val="003E01D4"/>
    <w:rsid w:val="003E4161"/>
    <w:rsid w:val="003E482C"/>
    <w:rsid w:val="003F1181"/>
    <w:rsid w:val="003F28BC"/>
    <w:rsid w:val="003F448B"/>
    <w:rsid w:val="003F47F3"/>
    <w:rsid w:val="003F546E"/>
    <w:rsid w:val="003F58F6"/>
    <w:rsid w:val="003F6C98"/>
    <w:rsid w:val="004000BE"/>
    <w:rsid w:val="004019E1"/>
    <w:rsid w:val="00401A8A"/>
    <w:rsid w:val="00403BB7"/>
    <w:rsid w:val="004043F0"/>
    <w:rsid w:val="0040477F"/>
    <w:rsid w:val="0040717F"/>
    <w:rsid w:val="004074BD"/>
    <w:rsid w:val="00411AA7"/>
    <w:rsid w:val="00412643"/>
    <w:rsid w:val="00412AFA"/>
    <w:rsid w:val="00413229"/>
    <w:rsid w:val="004137FF"/>
    <w:rsid w:val="004143B4"/>
    <w:rsid w:val="004146BF"/>
    <w:rsid w:val="004147B5"/>
    <w:rsid w:val="00414B30"/>
    <w:rsid w:val="00414D93"/>
    <w:rsid w:val="00417495"/>
    <w:rsid w:val="00420162"/>
    <w:rsid w:val="00421096"/>
    <w:rsid w:val="0042159B"/>
    <w:rsid w:val="00421F2C"/>
    <w:rsid w:val="00422A80"/>
    <w:rsid w:val="00422CC9"/>
    <w:rsid w:val="00423C2D"/>
    <w:rsid w:val="0042471C"/>
    <w:rsid w:val="00425289"/>
    <w:rsid w:val="0042582A"/>
    <w:rsid w:val="00425DF0"/>
    <w:rsid w:val="004265A0"/>
    <w:rsid w:val="00427917"/>
    <w:rsid w:val="00430147"/>
    <w:rsid w:val="00432D5A"/>
    <w:rsid w:val="0043385C"/>
    <w:rsid w:val="00433C87"/>
    <w:rsid w:val="00434B25"/>
    <w:rsid w:val="00435AD0"/>
    <w:rsid w:val="00437667"/>
    <w:rsid w:val="00440043"/>
    <w:rsid w:val="00440687"/>
    <w:rsid w:val="004417A2"/>
    <w:rsid w:val="00441AA1"/>
    <w:rsid w:val="00445F7B"/>
    <w:rsid w:val="00446005"/>
    <w:rsid w:val="004463B5"/>
    <w:rsid w:val="00446AE1"/>
    <w:rsid w:val="0044782C"/>
    <w:rsid w:val="00450A5A"/>
    <w:rsid w:val="00452A0A"/>
    <w:rsid w:val="00452D8A"/>
    <w:rsid w:val="0045443E"/>
    <w:rsid w:val="0045506B"/>
    <w:rsid w:val="004553CB"/>
    <w:rsid w:val="00455AC6"/>
    <w:rsid w:val="0046088D"/>
    <w:rsid w:val="0046151C"/>
    <w:rsid w:val="00461661"/>
    <w:rsid w:val="00461C5A"/>
    <w:rsid w:val="004626AE"/>
    <w:rsid w:val="00462FBB"/>
    <w:rsid w:val="0046454E"/>
    <w:rsid w:val="004656EE"/>
    <w:rsid w:val="00465733"/>
    <w:rsid w:val="00465D66"/>
    <w:rsid w:val="00466205"/>
    <w:rsid w:val="004665E5"/>
    <w:rsid w:val="00466A01"/>
    <w:rsid w:val="004703EC"/>
    <w:rsid w:val="00471642"/>
    <w:rsid w:val="00471B7A"/>
    <w:rsid w:val="0047711A"/>
    <w:rsid w:val="00477C38"/>
    <w:rsid w:val="0048006F"/>
    <w:rsid w:val="004803A2"/>
    <w:rsid w:val="0048204D"/>
    <w:rsid w:val="00487108"/>
    <w:rsid w:val="00487887"/>
    <w:rsid w:val="00487D79"/>
    <w:rsid w:val="004910E9"/>
    <w:rsid w:val="00491AF4"/>
    <w:rsid w:val="0049275B"/>
    <w:rsid w:val="004930C9"/>
    <w:rsid w:val="00493226"/>
    <w:rsid w:val="0049341F"/>
    <w:rsid w:val="00493728"/>
    <w:rsid w:val="00493982"/>
    <w:rsid w:val="00493C58"/>
    <w:rsid w:val="00493E80"/>
    <w:rsid w:val="0049456C"/>
    <w:rsid w:val="0049536B"/>
    <w:rsid w:val="004966D1"/>
    <w:rsid w:val="00496761"/>
    <w:rsid w:val="00496AE8"/>
    <w:rsid w:val="00496B76"/>
    <w:rsid w:val="00496C3B"/>
    <w:rsid w:val="00496CF4"/>
    <w:rsid w:val="004976F3"/>
    <w:rsid w:val="004A0A1F"/>
    <w:rsid w:val="004A1ED9"/>
    <w:rsid w:val="004A2CC9"/>
    <w:rsid w:val="004A503C"/>
    <w:rsid w:val="004A5498"/>
    <w:rsid w:val="004A5A9E"/>
    <w:rsid w:val="004A7A20"/>
    <w:rsid w:val="004B0201"/>
    <w:rsid w:val="004B04A3"/>
    <w:rsid w:val="004B0676"/>
    <w:rsid w:val="004B2004"/>
    <w:rsid w:val="004B20CB"/>
    <w:rsid w:val="004B2597"/>
    <w:rsid w:val="004B2831"/>
    <w:rsid w:val="004B2843"/>
    <w:rsid w:val="004B321C"/>
    <w:rsid w:val="004B40A8"/>
    <w:rsid w:val="004B4F1B"/>
    <w:rsid w:val="004B5E4F"/>
    <w:rsid w:val="004B5E66"/>
    <w:rsid w:val="004B60FF"/>
    <w:rsid w:val="004B68A2"/>
    <w:rsid w:val="004B77E3"/>
    <w:rsid w:val="004C1005"/>
    <w:rsid w:val="004C145A"/>
    <w:rsid w:val="004C26AB"/>
    <w:rsid w:val="004C2E9C"/>
    <w:rsid w:val="004C36AE"/>
    <w:rsid w:val="004C45A0"/>
    <w:rsid w:val="004C46E1"/>
    <w:rsid w:val="004C5861"/>
    <w:rsid w:val="004C62C5"/>
    <w:rsid w:val="004C63EE"/>
    <w:rsid w:val="004C6A8B"/>
    <w:rsid w:val="004D01FB"/>
    <w:rsid w:val="004D10DB"/>
    <w:rsid w:val="004D15BB"/>
    <w:rsid w:val="004D1EE6"/>
    <w:rsid w:val="004D26BA"/>
    <w:rsid w:val="004D28B9"/>
    <w:rsid w:val="004D2954"/>
    <w:rsid w:val="004D359F"/>
    <w:rsid w:val="004D4CB5"/>
    <w:rsid w:val="004D6142"/>
    <w:rsid w:val="004D64CB"/>
    <w:rsid w:val="004D75DA"/>
    <w:rsid w:val="004E076E"/>
    <w:rsid w:val="004E4358"/>
    <w:rsid w:val="004E57CA"/>
    <w:rsid w:val="004E5BDC"/>
    <w:rsid w:val="004E6DF7"/>
    <w:rsid w:val="004E72AC"/>
    <w:rsid w:val="004E76E7"/>
    <w:rsid w:val="004E78E8"/>
    <w:rsid w:val="004F1E6B"/>
    <w:rsid w:val="004F5251"/>
    <w:rsid w:val="004F620D"/>
    <w:rsid w:val="004F6473"/>
    <w:rsid w:val="00501BD7"/>
    <w:rsid w:val="005021B0"/>
    <w:rsid w:val="00502C1C"/>
    <w:rsid w:val="00503289"/>
    <w:rsid w:val="0050357E"/>
    <w:rsid w:val="00504BCA"/>
    <w:rsid w:val="00505C67"/>
    <w:rsid w:val="005069EC"/>
    <w:rsid w:val="00506A83"/>
    <w:rsid w:val="00506DC9"/>
    <w:rsid w:val="005078E9"/>
    <w:rsid w:val="0051029C"/>
    <w:rsid w:val="00511378"/>
    <w:rsid w:val="005129C5"/>
    <w:rsid w:val="00512FE9"/>
    <w:rsid w:val="005131F7"/>
    <w:rsid w:val="005133DE"/>
    <w:rsid w:val="00513835"/>
    <w:rsid w:val="00513F6E"/>
    <w:rsid w:val="0051438C"/>
    <w:rsid w:val="00514C7F"/>
    <w:rsid w:val="00515626"/>
    <w:rsid w:val="005173C8"/>
    <w:rsid w:val="00521828"/>
    <w:rsid w:val="00522594"/>
    <w:rsid w:val="00522BE2"/>
    <w:rsid w:val="005253C8"/>
    <w:rsid w:val="00526588"/>
    <w:rsid w:val="005274F3"/>
    <w:rsid w:val="0053079B"/>
    <w:rsid w:val="00530886"/>
    <w:rsid w:val="0053215E"/>
    <w:rsid w:val="00532618"/>
    <w:rsid w:val="0053269C"/>
    <w:rsid w:val="00532C95"/>
    <w:rsid w:val="00532D9C"/>
    <w:rsid w:val="00533389"/>
    <w:rsid w:val="005345C3"/>
    <w:rsid w:val="00534F06"/>
    <w:rsid w:val="005363C8"/>
    <w:rsid w:val="00536B5C"/>
    <w:rsid w:val="005374D3"/>
    <w:rsid w:val="00540341"/>
    <w:rsid w:val="005408D6"/>
    <w:rsid w:val="005409EC"/>
    <w:rsid w:val="00541455"/>
    <w:rsid w:val="00543BCF"/>
    <w:rsid w:val="00544636"/>
    <w:rsid w:val="00545D5F"/>
    <w:rsid w:val="00546F7A"/>
    <w:rsid w:val="00550034"/>
    <w:rsid w:val="0055018C"/>
    <w:rsid w:val="005501CB"/>
    <w:rsid w:val="00551104"/>
    <w:rsid w:val="00552D23"/>
    <w:rsid w:val="00553774"/>
    <w:rsid w:val="00553F5A"/>
    <w:rsid w:val="00553FB3"/>
    <w:rsid w:val="00555797"/>
    <w:rsid w:val="00555AFA"/>
    <w:rsid w:val="005573A0"/>
    <w:rsid w:val="00557A22"/>
    <w:rsid w:val="00557A2B"/>
    <w:rsid w:val="00557E61"/>
    <w:rsid w:val="00561BA5"/>
    <w:rsid w:val="00562048"/>
    <w:rsid w:val="00564FCB"/>
    <w:rsid w:val="00565697"/>
    <w:rsid w:val="00566C02"/>
    <w:rsid w:val="0057083E"/>
    <w:rsid w:val="00570FDA"/>
    <w:rsid w:val="00572E3F"/>
    <w:rsid w:val="0057548A"/>
    <w:rsid w:val="005763B6"/>
    <w:rsid w:val="0057681B"/>
    <w:rsid w:val="00580644"/>
    <w:rsid w:val="00580ED6"/>
    <w:rsid w:val="00584D01"/>
    <w:rsid w:val="00584FEA"/>
    <w:rsid w:val="00585079"/>
    <w:rsid w:val="00585743"/>
    <w:rsid w:val="00587DE3"/>
    <w:rsid w:val="00590621"/>
    <w:rsid w:val="0059080A"/>
    <w:rsid w:val="005913DD"/>
    <w:rsid w:val="0059202E"/>
    <w:rsid w:val="00594E39"/>
    <w:rsid w:val="00594E3A"/>
    <w:rsid w:val="0059566C"/>
    <w:rsid w:val="005973A6"/>
    <w:rsid w:val="00597D1A"/>
    <w:rsid w:val="005A0289"/>
    <w:rsid w:val="005A1069"/>
    <w:rsid w:val="005A2122"/>
    <w:rsid w:val="005A2283"/>
    <w:rsid w:val="005A22CF"/>
    <w:rsid w:val="005A41EA"/>
    <w:rsid w:val="005A4BE3"/>
    <w:rsid w:val="005B000C"/>
    <w:rsid w:val="005B08A3"/>
    <w:rsid w:val="005B0B97"/>
    <w:rsid w:val="005B3847"/>
    <w:rsid w:val="005B3EF1"/>
    <w:rsid w:val="005B614A"/>
    <w:rsid w:val="005B648E"/>
    <w:rsid w:val="005B6C81"/>
    <w:rsid w:val="005B7324"/>
    <w:rsid w:val="005B7BC5"/>
    <w:rsid w:val="005C15A0"/>
    <w:rsid w:val="005C3205"/>
    <w:rsid w:val="005C3D5C"/>
    <w:rsid w:val="005C6695"/>
    <w:rsid w:val="005C7937"/>
    <w:rsid w:val="005C799C"/>
    <w:rsid w:val="005D1912"/>
    <w:rsid w:val="005D2136"/>
    <w:rsid w:val="005D35E8"/>
    <w:rsid w:val="005D40A1"/>
    <w:rsid w:val="005D4327"/>
    <w:rsid w:val="005D58B2"/>
    <w:rsid w:val="005D6743"/>
    <w:rsid w:val="005D680C"/>
    <w:rsid w:val="005D76E2"/>
    <w:rsid w:val="005D7823"/>
    <w:rsid w:val="005D791F"/>
    <w:rsid w:val="005D7A5D"/>
    <w:rsid w:val="005E2AE9"/>
    <w:rsid w:val="005E32D1"/>
    <w:rsid w:val="005E3949"/>
    <w:rsid w:val="005E4AFC"/>
    <w:rsid w:val="005E5087"/>
    <w:rsid w:val="005E543D"/>
    <w:rsid w:val="005E61E3"/>
    <w:rsid w:val="005F0BCE"/>
    <w:rsid w:val="005F1E9A"/>
    <w:rsid w:val="005F33F5"/>
    <w:rsid w:val="005F34F7"/>
    <w:rsid w:val="005F56A6"/>
    <w:rsid w:val="005F682E"/>
    <w:rsid w:val="005F7310"/>
    <w:rsid w:val="005F7B5E"/>
    <w:rsid w:val="005F7E70"/>
    <w:rsid w:val="00600CBE"/>
    <w:rsid w:val="006012C6"/>
    <w:rsid w:val="00602031"/>
    <w:rsid w:val="00602802"/>
    <w:rsid w:val="006042AF"/>
    <w:rsid w:val="00604922"/>
    <w:rsid w:val="0060538B"/>
    <w:rsid w:val="00605D81"/>
    <w:rsid w:val="00606686"/>
    <w:rsid w:val="0060672A"/>
    <w:rsid w:val="00606C71"/>
    <w:rsid w:val="00607370"/>
    <w:rsid w:val="00612F9F"/>
    <w:rsid w:val="006138CE"/>
    <w:rsid w:val="00613EFD"/>
    <w:rsid w:val="00617630"/>
    <w:rsid w:val="00620346"/>
    <w:rsid w:val="00620555"/>
    <w:rsid w:val="0062083C"/>
    <w:rsid w:val="006209F4"/>
    <w:rsid w:val="00622670"/>
    <w:rsid w:val="00622F3F"/>
    <w:rsid w:val="00623342"/>
    <w:rsid w:val="00624BB7"/>
    <w:rsid w:val="00624F25"/>
    <w:rsid w:val="006255D0"/>
    <w:rsid w:val="0062638D"/>
    <w:rsid w:val="006267F8"/>
    <w:rsid w:val="006305F6"/>
    <w:rsid w:val="00630E56"/>
    <w:rsid w:val="00631670"/>
    <w:rsid w:val="00631CCD"/>
    <w:rsid w:val="0063251F"/>
    <w:rsid w:val="00633C04"/>
    <w:rsid w:val="0063642D"/>
    <w:rsid w:val="00637CCD"/>
    <w:rsid w:val="0064134B"/>
    <w:rsid w:val="00641B08"/>
    <w:rsid w:val="00643399"/>
    <w:rsid w:val="00644F3A"/>
    <w:rsid w:val="00646793"/>
    <w:rsid w:val="00646CE0"/>
    <w:rsid w:val="006470A9"/>
    <w:rsid w:val="00650B77"/>
    <w:rsid w:val="00650FA2"/>
    <w:rsid w:val="00651BA6"/>
    <w:rsid w:val="00652E1E"/>
    <w:rsid w:val="006548A9"/>
    <w:rsid w:val="00654ABF"/>
    <w:rsid w:val="00655E43"/>
    <w:rsid w:val="00656384"/>
    <w:rsid w:val="0065645E"/>
    <w:rsid w:val="00656E06"/>
    <w:rsid w:val="00657662"/>
    <w:rsid w:val="00657A15"/>
    <w:rsid w:val="0066182F"/>
    <w:rsid w:val="00662F55"/>
    <w:rsid w:val="00663CA0"/>
    <w:rsid w:val="006641C4"/>
    <w:rsid w:val="00664E27"/>
    <w:rsid w:val="0066524A"/>
    <w:rsid w:val="006653D4"/>
    <w:rsid w:val="0066596A"/>
    <w:rsid w:val="00666E6D"/>
    <w:rsid w:val="00667F6E"/>
    <w:rsid w:val="00671778"/>
    <w:rsid w:val="00671904"/>
    <w:rsid w:val="00671BCE"/>
    <w:rsid w:val="00671DBA"/>
    <w:rsid w:val="006722CE"/>
    <w:rsid w:val="0067233E"/>
    <w:rsid w:val="00672898"/>
    <w:rsid w:val="00675237"/>
    <w:rsid w:val="00675DE7"/>
    <w:rsid w:val="00676281"/>
    <w:rsid w:val="00677B5A"/>
    <w:rsid w:val="00677F9F"/>
    <w:rsid w:val="00680E07"/>
    <w:rsid w:val="006814ED"/>
    <w:rsid w:val="00681AAF"/>
    <w:rsid w:val="006824DB"/>
    <w:rsid w:val="00682C04"/>
    <w:rsid w:val="0068333B"/>
    <w:rsid w:val="006837D2"/>
    <w:rsid w:val="006856AD"/>
    <w:rsid w:val="00690BB8"/>
    <w:rsid w:val="0069122B"/>
    <w:rsid w:val="00692075"/>
    <w:rsid w:val="0069278C"/>
    <w:rsid w:val="00693A87"/>
    <w:rsid w:val="00696B73"/>
    <w:rsid w:val="00697607"/>
    <w:rsid w:val="0069788B"/>
    <w:rsid w:val="006A185C"/>
    <w:rsid w:val="006A4230"/>
    <w:rsid w:val="006A42F6"/>
    <w:rsid w:val="006A6A82"/>
    <w:rsid w:val="006A6E0F"/>
    <w:rsid w:val="006B02F4"/>
    <w:rsid w:val="006B1498"/>
    <w:rsid w:val="006B48F1"/>
    <w:rsid w:val="006B5DD5"/>
    <w:rsid w:val="006C1816"/>
    <w:rsid w:val="006C1978"/>
    <w:rsid w:val="006C208D"/>
    <w:rsid w:val="006C2467"/>
    <w:rsid w:val="006C4093"/>
    <w:rsid w:val="006C430D"/>
    <w:rsid w:val="006C4C7D"/>
    <w:rsid w:val="006C54E5"/>
    <w:rsid w:val="006C60A2"/>
    <w:rsid w:val="006C720A"/>
    <w:rsid w:val="006C7454"/>
    <w:rsid w:val="006C76AD"/>
    <w:rsid w:val="006D43B2"/>
    <w:rsid w:val="006D4589"/>
    <w:rsid w:val="006D49F6"/>
    <w:rsid w:val="006D4C4D"/>
    <w:rsid w:val="006D5020"/>
    <w:rsid w:val="006D512F"/>
    <w:rsid w:val="006D52EC"/>
    <w:rsid w:val="006D5A53"/>
    <w:rsid w:val="006D5ACB"/>
    <w:rsid w:val="006D7CA8"/>
    <w:rsid w:val="006E04B9"/>
    <w:rsid w:val="006E0D18"/>
    <w:rsid w:val="006E1F28"/>
    <w:rsid w:val="006E2A09"/>
    <w:rsid w:val="006E3E28"/>
    <w:rsid w:val="006E4152"/>
    <w:rsid w:val="006E5253"/>
    <w:rsid w:val="006E6910"/>
    <w:rsid w:val="006E6B9A"/>
    <w:rsid w:val="006E765B"/>
    <w:rsid w:val="006F3D7D"/>
    <w:rsid w:val="006F4C14"/>
    <w:rsid w:val="006F5508"/>
    <w:rsid w:val="006F5C0D"/>
    <w:rsid w:val="006F5CF8"/>
    <w:rsid w:val="006F7C8D"/>
    <w:rsid w:val="0070051E"/>
    <w:rsid w:val="007010B2"/>
    <w:rsid w:val="00701EF9"/>
    <w:rsid w:val="007048C3"/>
    <w:rsid w:val="00710055"/>
    <w:rsid w:val="00710B1B"/>
    <w:rsid w:val="00710D33"/>
    <w:rsid w:val="00712655"/>
    <w:rsid w:val="00712EB8"/>
    <w:rsid w:val="00714BBD"/>
    <w:rsid w:val="00715A9D"/>
    <w:rsid w:val="00717947"/>
    <w:rsid w:val="00720CDA"/>
    <w:rsid w:val="00722BC5"/>
    <w:rsid w:val="007235BF"/>
    <w:rsid w:val="00723A10"/>
    <w:rsid w:val="00723B41"/>
    <w:rsid w:val="00726156"/>
    <w:rsid w:val="00726B1D"/>
    <w:rsid w:val="007308FF"/>
    <w:rsid w:val="00731DBB"/>
    <w:rsid w:val="00732383"/>
    <w:rsid w:val="007327A8"/>
    <w:rsid w:val="00732E84"/>
    <w:rsid w:val="00733BDE"/>
    <w:rsid w:val="00733FF0"/>
    <w:rsid w:val="00734668"/>
    <w:rsid w:val="00734DE0"/>
    <w:rsid w:val="0073534E"/>
    <w:rsid w:val="00736309"/>
    <w:rsid w:val="00737957"/>
    <w:rsid w:val="00737A9B"/>
    <w:rsid w:val="007408EB"/>
    <w:rsid w:val="00742A2C"/>
    <w:rsid w:val="00743A06"/>
    <w:rsid w:val="00743CE2"/>
    <w:rsid w:val="00744883"/>
    <w:rsid w:val="00744A5B"/>
    <w:rsid w:val="00744BD2"/>
    <w:rsid w:val="0074580A"/>
    <w:rsid w:val="00747636"/>
    <w:rsid w:val="007477F6"/>
    <w:rsid w:val="0075003C"/>
    <w:rsid w:val="007502A3"/>
    <w:rsid w:val="007514BF"/>
    <w:rsid w:val="0075176A"/>
    <w:rsid w:val="0075203E"/>
    <w:rsid w:val="007531EA"/>
    <w:rsid w:val="00754C81"/>
    <w:rsid w:val="00755C03"/>
    <w:rsid w:val="00756044"/>
    <w:rsid w:val="007561F9"/>
    <w:rsid w:val="007569F9"/>
    <w:rsid w:val="00757C50"/>
    <w:rsid w:val="00757C59"/>
    <w:rsid w:val="00760049"/>
    <w:rsid w:val="00760131"/>
    <w:rsid w:val="00761734"/>
    <w:rsid w:val="00761E01"/>
    <w:rsid w:val="00762E8A"/>
    <w:rsid w:val="0076369E"/>
    <w:rsid w:val="007641FB"/>
    <w:rsid w:val="00764CBB"/>
    <w:rsid w:val="00765540"/>
    <w:rsid w:val="00765BB9"/>
    <w:rsid w:val="00766562"/>
    <w:rsid w:val="00766778"/>
    <w:rsid w:val="00766C46"/>
    <w:rsid w:val="00766FA3"/>
    <w:rsid w:val="007710FD"/>
    <w:rsid w:val="00771468"/>
    <w:rsid w:val="00771886"/>
    <w:rsid w:val="00771A7B"/>
    <w:rsid w:val="007729DA"/>
    <w:rsid w:val="00772D0C"/>
    <w:rsid w:val="00773E0F"/>
    <w:rsid w:val="00773E97"/>
    <w:rsid w:val="00781149"/>
    <w:rsid w:val="00783B4C"/>
    <w:rsid w:val="00784191"/>
    <w:rsid w:val="007846AA"/>
    <w:rsid w:val="00784A7D"/>
    <w:rsid w:val="00785487"/>
    <w:rsid w:val="00785D00"/>
    <w:rsid w:val="0078762A"/>
    <w:rsid w:val="007878A3"/>
    <w:rsid w:val="00790BB7"/>
    <w:rsid w:val="007911DF"/>
    <w:rsid w:val="00791A5D"/>
    <w:rsid w:val="00792173"/>
    <w:rsid w:val="00793203"/>
    <w:rsid w:val="00794908"/>
    <w:rsid w:val="00794C9C"/>
    <w:rsid w:val="00794E6B"/>
    <w:rsid w:val="007960C4"/>
    <w:rsid w:val="0079666E"/>
    <w:rsid w:val="0079669E"/>
    <w:rsid w:val="00796A2A"/>
    <w:rsid w:val="007971EC"/>
    <w:rsid w:val="007A081B"/>
    <w:rsid w:val="007A09CA"/>
    <w:rsid w:val="007A0ACA"/>
    <w:rsid w:val="007A0E1F"/>
    <w:rsid w:val="007A2A69"/>
    <w:rsid w:val="007A2D26"/>
    <w:rsid w:val="007A40D2"/>
    <w:rsid w:val="007A412D"/>
    <w:rsid w:val="007A4A6B"/>
    <w:rsid w:val="007A5F53"/>
    <w:rsid w:val="007A615E"/>
    <w:rsid w:val="007A66D8"/>
    <w:rsid w:val="007A6A3F"/>
    <w:rsid w:val="007B059C"/>
    <w:rsid w:val="007B07FC"/>
    <w:rsid w:val="007B16E4"/>
    <w:rsid w:val="007B206B"/>
    <w:rsid w:val="007B347F"/>
    <w:rsid w:val="007B546D"/>
    <w:rsid w:val="007B57C2"/>
    <w:rsid w:val="007B7386"/>
    <w:rsid w:val="007C0AFC"/>
    <w:rsid w:val="007C33E4"/>
    <w:rsid w:val="007C4E10"/>
    <w:rsid w:val="007C562A"/>
    <w:rsid w:val="007C5D86"/>
    <w:rsid w:val="007C6845"/>
    <w:rsid w:val="007C6ADA"/>
    <w:rsid w:val="007C7860"/>
    <w:rsid w:val="007D1028"/>
    <w:rsid w:val="007D3894"/>
    <w:rsid w:val="007D3998"/>
    <w:rsid w:val="007D3DFE"/>
    <w:rsid w:val="007D4319"/>
    <w:rsid w:val="007D6A11"/>
    <w:rsid w:val="007D6C2B"/>
    <w:rsid w:val="007E048C"/>
    <w:rsid w:val="007E04D4"/>
    <w:rsid w:val="007E267A"/>
    <w:rsid w:val="007E2E6B"/>
    <w:rsid w:val="007E5001"/>
    <w:rsid w:val="007E5A94"/>
    <w:rsid w:val="007E5C1B"/>
    <w:rsid w:val="007E5CF8"/>
    <w:rsid w:val="007E6193"/>
    <w:rsid w:val="007E771D"/>
    <w:rsid w:val="007F143F"/>
    <w:rsid w:val="007F26F0"/>
    <w:rsid w:val="007F37C1"/>
    <w:rsid w:val="007F3EF2"/>
    <w:rsid w:val="007F475E"/>
    <w:rsid w:val="007F538E"/>
    <w:rsid w:val="007F5430"/>
    <w:rsid w:val="007F5F16"/>
    <w:rsid w:val="00800727"/>
    <w:rsid w:val="008008E1"/>
    <w:rsid w:val="008010A5"/>
    <w:rsid w:val="00801948"/>
    <w:rsid w:val="0080202C"/>
    <w:rsid w:val="00802A64"/>
    <w:rsid w:val="008034B9"/>
    <w:rsid w:val="00803F61"/>
    <w:rsid w:val="00804085"/>
    <w:rsid w:val="00804288"/>
    <w:rsid w:val="0080611B"/>
    <w:rsid w:val="008066C2"/>
    <w:rsid w:val="0080681C"/>
    <w:rsid w:val="00807778"/>
    <w:rsid w:val="00807B75"/>
    <w:rsid w:val="00807E8D"/>
    <w:rsid w:val="00810B19"/>
    <w:rsid w:val="00812086"/>
    <w:rsid w:val="00813CD3"/>
    <w:rsid w:val="00814993"/>
    <w:rsid w:val="0081518A"/>
    <w:rsid w:val="00815774"/>
    <w:rsid w:val="00815E75"/>
    <w:rsid w:val="00816F96"/>
    <w:rsid w:val="00821995"/>
    <w:rsid w:val="00822982"/>
    <w:rsid w:val="008233FB"/>
    <w:rsid w:val="00823E65"/>
    <w:rsid w:val="00823FF0"/>
    <w:rsid w:val="008244E5"/>
    <w:rsid w:val="00824762"/>
    <w:rsid w:val="00824E13"/>
    <w:rsid w:val="00825B6C"/>
    <w:rsid w:val="00827FF1"/>
    <w:rsid w:val="008333AF"/>
    <w:rsid w:val="008339F9"/>
    <w:rsid w:val="008353FD"/>
    <w:rsid w:val="008357F9"/>
    <w:rsid w:val="00836840"/>
    <w:rsid w:val="00836ADA"/>
    <w:rsid w:val="00840AB6"/>
    <w:rsid w:val="00842222"/>
    <w:rsid w:val="00842932"/>
    <w:rsid w:val="008453F4"/>
    <w:rsid w:val="0084569E"/>
    <w:rsid w:val="008459AF"/>
    <w:rsid w:val="00846CBF"/>
    <w:rsid w:val="00846FAB"/>
    <w:rsid w:val="00852480"/>
    <w:rsid w:val="00852801"/>
    <w:rsid w:val="00853203"/>
    <w:rsid w:val="00853251"/>
    <w:rsid w:val="00855901"/>
    <w:rsid w:val="00856CC3"/>
    <w:rsid w:val="00861E5F"/>
    <w:rsid w:val="00861E6F"/>
    <w:rsid w:val="00867A10"/>
    <w:rsid w:val="00870BF0"/>
    <w:rsid w:val="00870FE7"/>
    <w:rsid w:val="00871844"/>
    <w:rsid w:val="0087212D"/>
    <w:rsid w:val="00872250"/>
    <w:rsid w:val="00872C28"/>
    <w:rsid w:val="0087346B"/>
    <w:rsid w:val="00874050"/>
    <w:rsid w:val="00874C95"/>
    <w:rsid w:val="00876E88"/>
    <w:rsid w:val="00877DDB"/>
    <w:rsid w:val="00880158"/>
    <w:rsid w:val="008806D5"/>
    <w:rsid w:val="00880F31"/>
    <w:rsid w:val="00881A67"/>
    <w:rsid w:val="00882FF6"/>
    <w:rsid w:val="00885F89"/>
    <w:rsid w:val="008864E9"/>
    <w:rsid w:val="00886503"/>
    <w:rsid w:val="00891455"/>
    <w:rsid w:val="00891BFE"/>
    <w:rsid w:val="00893274"/>
    <w:rsid w:val="00893780"/>
    <w:rsid w:val="00893B8E"/>
    <w:rsid w:val="00894FBC"/>
    <w:rsid w:val="00897716"/>
    <w:rsid w:val="00897F2F"/>
    <w:rsid w:val="008A0730"/>
    <w:rsid w:val="008A1ED0"/>
    <w:rsid w:val="008A2594"/>
    <w:rsid w:val="008A2617"/>
    <w:rsid w:val="008A26D3"/>
    <w:rsid w:val="008A34A6"/>
    <w:rsid w:val="008A4509"/>
    <w:rsid w:val="008A4707"/>
    <w:rsid w:val="008A5F17"/>
    <w:rsid w:val="008A6360"/>
    <w:rsid w:val="008A6DED"/>
    <w:rsid w:val="008A7482"/>
    <w:rsid w:val="008B2800"/>
    <w:rsid w:val="008B33CF"/>
    <w:rsid w:val="008B37F0"/>
    <w:rsid w:val="008B3A5F"/>
    <w:rsid w:val="008B5EB2"/>
    <w:rsid w:val="008B7442"/>
    <w:rsid w:val="008B79E9"/>
    <w:rsid w:val="008C0288"/>
    <w:rsid w:val="008C2ADD"/>
    <w:rsid w:val="008C34F5"/>
    <w:rsid w:val="008C38A4"/>
    <w:rsid w:val="008C3F9F"/>
    <w:rsid w:val="008C4C00"/>
    <w:rsid w:val="008C4EB6"/>
    <w:rsid w:val="008C68F8"/>
    <w:rsid w:val="008C725D"/>
    <w:rsid w:val="008C7C9B"/>
    <w:rsid w:val="008D1C97"/>
    <w:rsid w:val="008D2554"/>
    <w:rsid w:val="008D4530"/>
    <w:rsid w:val="008D4C37"/>
    <w:rsid w:val="008D59FE"/>
    <w:rsid w:val="008D5B9D"/>
    <w:rsid w:val="008D66F4"/>
    <w:rsid w:val="008D6DCB"/>
    <w:rsid w:val="008E1804"/>
    <w:rsid w:val="008E27D5"/>
    <w:rsid w:val="008E29B3"/>
    <w:rsid w:val="008E33E4"/>
    <w:rsid w:val="008E3ADA"/>
    <w:rsid w:val="008E3F08"/>
    <w:rsid w:val="008E61BD"/>
    <w:rsid w:val="008E7CEC"/>
    <w:rsid w:val="008F1712"/>
    <w:rsid w:val="008F3BDC"/>
    <w:rsid w:val="008F441D"/>
    <w:rsid w:val="008F4D5F"/>
    <w:rsid w:val="0090352C"/>
    <w:rsid w:val="00904136"/>
    <w:rsid w:val="0090427E"/>
    <w:rsid w:val="0090431E"/>
    <w:rsid w:val="00904F34"/>
    <w:rsid w:val="0090516B"/>
    <w:rsid w:val="0090613C"/>
    <w:rsid w:val="0090702A"/>
    <w:rsid w:val="00907EFA"/>
    <w:rsid w:val="00910652"/>
    <w:rsid w:val="009111FF"/>
    <w:rsid w:val="009125D5"/>
    <w:rsid w:val="009153FE"/>
    <w:rsid w:val="00915D34"/>
    <w:rsid w:val="00916155"/>
    <w:rsid w:val="00916A11"/>
    <w:rsid w:val="00916C7B"/>
    <w:rsid w:val="00917C3C"/>
    <w:rsid w:val="00921D45"/>
    <w:rsid w:val="009224C3"/>
    <w:rsid w:val="009236D7"/>
    <w:rsid w:val="00923775"/>
    <w:rsid w:val="00924BD6"/>
    <w:rsid w:val="00924DE4"/>
    <w:rsid w:val="00925A19"/>
    <w:rsid w:val="00925B35"/>
    <w:rsid w:val="00925F45"/>
    <w:rsid w:val="00927716"/>
    <w:rsid w:val="009319C1"/>
    <w:rsid w:val="00931C9D"/>
    <w:rsid w:val="00931E8D"/>
    <w:rsid w:val="00932248"/>
    <w:rsid w:val="00932BEF"/>
    <w:rsid w:val="009335D4"/>
    <w:rsid w:val="00934221"/>
    <w:rsid w:val="0093429B"/>
    <w:rsid w:val="00935C2B"/>
    <w:rsid w:val="0093734D"/>
    <w:rsid w:val="009402E9"/>
    <w:rsid w:val="009403D3"/>
    <w:rsid w:val="009433CB"/>
    <w:rsid w:val="00943F7B"/>
    <w:rsid w:val="009442EB"/>
    <w:rsid w:val="00944C90"/>
    <w:rsid w:val="0095082C"/>
    <w:rsid w:val="009534BA"/>
    <w:rsid w:val="009551C0"/>
    <w:rsid w:val="009556EA"/>
    <w:rsid w:val="0095573F"/>
    <w:rsid w:val="00956734"/>
    <w:rsid w:val="009571C1"/>
    <w:rsid w:val="00957969"/>
    <w:rsid w:val="00957A9D"/>
    <w:rsid w:val="0096003B"/>
    <w:rsid w:val="009603E8"/>
    <w:rsid w:val="00960B4F"/>
    <w:rsid w:val="00961A30"/>
    <w:rsid w:val="009625EF"/>
    <w:rsid w:val="009628AF"/>
    <w:rsid w:val="00962C01"/>
    <w:rsid w:val="00962DE9"/>
    <w:rsid w:val="009648B7"/>
    <w:rsid w:val="00965B3F"/>
    <w:rsid w:val="00967416"/>
    <w:rsid w:val="009700DC"/>
    <w:rsid w:val="009713F9"/>
    <w:rsid w:val="00971496"/>
    <w:rsid w:val="00971C28"/>
    <w:rsid w:val="00971DDC"/>
    <w:rsid w:val="0097265A"/>
    <w:rsid w:val="00972F70"/>
    <w:rsid w:val="00973008"/>
    <w:rsid w:val="009730F7"/>
    <w:rsid w:val="00973382"/>
    <w:rsid w:val="00974155"/>
    <w:rsid w:val="009745AB"/>
    <w:rsid w:val="009816DB"/>
    <w:rsid w:val="0098173C"/>
    <w:rsid w:val="00983B5D"/>
    <w:rsid w:val="009854F3"/>
    <w:rsid w:val="00986879"/>
    <w:rsid w:val="009871A7"/>
    <w:rsid w:val="00990862"/>
    <w:rsid w:val="00991070"/>
    <w:rsid w:val="00991963"/>
    <w:rsid w:val="00991D7D"/>
    <w:rsid w:val="00992DCD"/>
    <w:rsid w:val="0099534C"/>
    <w:rsid w:val="00995F99"/>
    <w:rsid w:val="009969F9"/>
    <w:rsid w:val="009A2B8D"/>
    <w:rsid w:val="009A34FC"/>
    <w:rsid w:val="009A6162"/>
    <w:rsid w:val="009A6487"/>
    <w:rsid w:val="009B10DB"/>
    <w:rsid w:val="009B147D"/>
    <w:rsid w:val="009B2AA7"/>
    <w:rsid w:val="009B39ED"/>
    <w:rsid w:val="009B4A2D"/>
    <w:rsid w:val="009B5573"/>
    <w:rsid w:val="009B5971"/>
    <w:rsid w:val="009B5E0A"/>
    <w:rsid w:val="009B7D05"/>
    <w:rsid w:val="009C1507"/>
    <w:rsid w:val="009C1CA4"/>
    <w:rsid w:val="009C5F69"/>
    <w:rsid w:val="009C69EE"/>
    <w:rsid w:val="009C7C5F"/>
    <w:rsid w:val="009D03F9"/>
    <w:rsid w:val="009D1A30"/>
    <w:rsid w:val="009D2D92"/>
    <w:rsid w:val="009D4E27"/>
    <w:rsid w:val="009D775E"/>
    <w:rsid w:val="009D7EE2"/>
    <w:rsid w:val="009E0835"/>
    <w:rsid w:val="009E0C6D"/>
    <w:rsid w:val="009E14C7"/>
    <w:rsid w:val="009E1685"/>
    <w:rsid w:val="009E27A5"/>
    <w:rsid w:val="009E28F8"/>
    <w:rsid w:val="009E2BBA"/>
    <w:rsid w:val="009E2DD1"/>
    <w:rsid w:val="009E44A7"/>
    <w:rsid w:val="009E4A70"/>
    <w:rsid w:val="009E555F"/>
    <w:rsid w:val="009E59E0"/>
    <w:rsid w:val="009E7383"/>
    <w:rsid w:val="009E748B"/>
    <w:rsid w:val="009E7EDD"/>
    <w:rsid w:val="009F0F38"/>
    <w:rsid w:val="009F13C6"/>
    <w:rsid w:val="009F17BD"/>
    <w:rsid w:val="009F35E1"/>
    <w:rsid w:val="009F3BC6"/>
    <w:rsid w:val="009F4B0D"/>
    <w:rsid w:val="009F5202"/>
    <w:rsid w:val="009F5494"/>
    <w:rsid w:val="009F66F4"/>
    <w:rsid w:val="009F6F2F"/>
    <w:rsid w:val="009F7024"/>
    <w:rsid w:val="00A01192"/>
    <w:rsid w:val="00A03557"/>
    <w:rsid w:val="00A0363B"/>
    <w:rsid w:val="00A044DF"/>
    <w:rsid w:val="00A07D64"/>
    <w:rsid w:val="00A10A5A"/>
    <w:rsid w:val="00A11C46"/>
    <w:rsid w:val="00A14D2B"/>
    <w:rsid w:val="00A16D4F"/>
    <w:rsid w:val="00A20B32"/>
    <w:rsid w:val="00A21CD8"/>
    <w:rsid w:val="00A22250"/>
    <w:rsid w:val="00A22F3F"/>
    <w:rsid w:val="00A23668"/>
    <w:rsid w:val="00A237B2"/>
    <w:rsid w:val="00A249FF"/>
    <w:rsid w:val="00A24CCA"/>
    <w:rsid w:val="00A24F87"/>
    <w:rsid w:val="00A25CF2"/>
    <w:rsid w:val="00A260AF"/>
    <w:rsid w:val="00A265FF"/>
    <w:rsid w:val="00A26898"/>
    <w:rsid w:val="00A27911"/>
    <w:rsid w:val="00A279D4"/>
    <w:rsid w:val="00A27B2A"/>
    <w:rsid w:val="00A301FF"/>
    <w:rsid w:val="00A31718"/>
    <w:rsid w:val="00A32E0B"/>
    <w:rsid w:val="00A34767"/>
    <w:rsid w:val="00A3765A"/>
    <w:rsid w:val="00A37979"/>
    <w:rsid w:val="00A379EC"/>
    <w:rsid w:val="00A40A5E"/>
    <w:rsid w:val="00A40F03"/>
    <w:rsid w:val="00A41176"/>
    <w:rsid w:val="00A411EE"/>
    <w:rsid w:val="00A41775"/>
    <w:rsid w:val="00A4219D"/>
    <w:rsid w:val="00A42AE6"/>
    <w:rsid w:val="00A4346D"/>
    <w:rsid w:val="00A46E9F"/>
    <w:rsid w:val="00A472DC"/>
    <w:rsid w:val="00A515D6"/>
    <w:rsid w:val="00A52561"/>
    <w:rsid w:val="00A52FC5"/>
    <w:rsid w:val="00A53ED9"/>
    <w:rsid w:val="00A53FC5"/>
    <w:rsid w:val="00A540F3"/>
    <w:rsid w:val="00A54F01"/>
    <w:rsid w:val="00A5562E"/>
    <w:rsid w:val="00A55B7A"/>
    <w:rsid w:val="00A55E18"/>
    <w:rsid w:val="00A55F27"/>
    <w:rsid w:val="00A569A4"/>
    <w:rsid w:val="00A57168"/>
    <w:rsid w:val="00A573B8"/>
    <w:rsid w:val="00A62B1A"/>
    <w:rsid w:val="00A635F3"/>
    <w:rsid w:val="00A64432"/>
    <w:rsid w:val="00A71823"/>
    <w:rsid w:val="00A71BD4"/>
    <w:rsid w:val="00A72B9C"/>
    <w:rsid w:val="00A73FF6"/>
    <w:rsid w:val="00A7478A"/>
    <w:rsid w:val="00A75064"/>
    <w:rsid w:val="00A751C5"/>
    <w:rsid w:val="00A76243"/>
    <w:rsid w:val="00A762D5"/>
    <w:rsid w:val="00A76C96"/>
    <w:rsid w:val="00A76ECC"/>
    <w:rsid w:val="00A773F5"/>
    <w:rsid w:val="00A80128"/>
    <w:rsid w:val="00A805A8"/>
    <w:rsid w:val="00A807B6"/>
    <w:rsid w:val="00A80946"/>
    <w:rsid w:val="00A80B01"/>
    <w:rsid w:val="00A80C32"/>
    <w:rsid w:val="00A81983"/>
    <w:rsid w:val="00A85636"/>
    <w:rsid w:val="00A86CD3"/>
    <w:rsid w:val="00A92582"/>
    <w:rsid w:val="00A933A2"/>
    <w:rsid w:val="00A934CA"/>
    <w:rsid w:val="00A93646"/>
    <w:rsid w:val="00A94138"/>
    <w:rsid w:val="00A943D1"/>
    <w:rsid w:val="00A945E2"/>
    <w:rsid w:val="00A95088"/>
    <w:rsid w:val="00A95E61"/>
    <w:rsid w:val="00A9638F"/>
    <w:rsid w:val="00A96D24"/>
    <w:rsid w:val="00A97CC1"/>
    <w:rsid w:val="00AA0056"/>
    <w:rsid w:val="00AA1064"/>
    <w:rsid w:val="00AA2D50"/>
    <w:rsid w:val="00AA3CA4"/>
    <w:rsid w:val="00AA55C8"/>
    <w:rsid w:val="00AA5724"/>
    <w:rsid w:val="00AA66E7"/>
    <w:rsid w:val="00AA6FA7"/>
    <w:rsid w:val="00AB024B"/>
    <w:rsid w:val="00AB1474"/>
    <w:rsid w:val="00AB15E8"/>
    <w:rsid w:val="00AB1FBD"/>
    <w:rsid w:val="00AB2218"/>
    <w:rsid w:val="00AB4EFA"/>
    <w:rsid w:val="00AB7DF7"/>
    <w:rsid w:val="00AC2945"/>
    <w:rsid w:val="00AC2BD8"/>
    <w:rsid w:val="00AC38E8"/>
    <w:rsid w:val="00AC3C29"/>
    <w:rsid w:val="00AC4060"/>
    <w:rsid w:val="00AC4276"/>
    <w:rsid w:val="00AC47E8"/>
    <w:rsid w:val="00AC4937"/>
    <w:rsid w:val="00AC4AAA"/>
    <w:rsid w:val="00AC5A41"/>
    <w:rsid w:val="00AC5BB1"/>
    <w:rsid w:val="00AC5C14"/>
    <w:rsid w:val="00AC700E"/>
    <w:rsid w:val="00AC7216"/>
    <w:rsid w:val="00AD00AD"/>
    <w:rsid w:val="00AD08B6"/>
    <w:rsid w:val="00AD0C4F"/>
    <w:rsid w:val="00AD1AE9"/>
    <w:rsid w:val="00AD2835"/>
    <w:rsid w:val="00AD2D4F"/>
    <w:rsid w:val="00AD2D98"/>
    <w:rsid w:val="00AD4BF0"/>
    <w:rsid w:val="00AD54E8"/>
    <w:rsid w:val="00AD5868"/>
    <w:rsid w:val="00AD5E2B"/>
    <w:rsid w:val="00AD5EB6"/>
    <w:rsid w:val="00AD6B0F"/>
    <w:rsid w:val="00AD758B"/>
    <w:rsid w:val="00AE052F"/>
    <w:rsid w:val="00AE1414"/>
    <w:rsid w:val="00AE26C5"/>
    <w:rsid w:val="00AE3567"/>
    <w:rsid w:val="00AE3E31"/>
    <w:rsid w:val="00AE46C4"/>
    <w:rsid w:val="00AE4706"/>
    <w:rsid w:val="00AE47E5"/>
    <w:rsid w:val="00AE6AE8"/>
    <w:rsid w:val="00AE70C1"/>
    <w:rsid w:val="00AE71E6"/>
    <w:rsid w:val="00AE7443"/>
    <w:rsid w:val="00AE775A"/>
    <w:rsid w:val="00AE7A44"/>
    <w:rsid w:val="00AE7C57"/>
    <w:rsid w:val="00AF1A64"/>
    <w:rsid w:val="00AF3B2C"/>
    <w:rsid w:val="00AF433F"/>
    <w:rsid w:val="00AF4A7C"/>
    <w:rsid w:val="00AF4CF2"/>
    <w:rsid w:val="00AF5E83"/>
    <w:rsid w:val="00B00D09"/>
    <w:rsid w:val="00B00E4B"/>
    <w:rsid w:val="00B01476"/>
    <w:rsid w:val="00B019A7"/>
    <w:rsid w:val="00B03330"/>
    <w:rsid w:val="00B03B2F"/>
    <w:rsid w:val="00B03BCC"/>
    <w:rsid w:val="00B07901"/>
    <w:rsid w:val="00B07ADB"/>
    <w:rsid w:val="00B1013F"/>
    <w:rsid w:val="00B1029B"/>
    <w:rsid w:val="00B107DB"/>
    <w:rsid w:val="00B12666"/>
    <w:rsid w:val="00B139DE"/>
    <w:rsid w:val="00B14297"/>
    <w:rsid w:val="00B14E9A"/>
    <w:rsid w:val="00B14FCA"/>
    <w:rsid w:val="00B1780D"/>
    <w:rsid w:val="00B17E57"/>
    <w:rsid w:val="00B2054F"/>
    <w:rsid w:val="00B208D6"/>
    <w:rsid w:val="00B20E98"/>
    <w:rsid w:val="00B215FB"/>
    <w:rsid w:val="00B22638"/>
    <w:rsid w:val="00B22699"/>
    <w:rsid w:val="00B2348F"/>
    <w:rsid w:val="00B23EBC"/>
    <w:rsid w:val="00B243F4"/>
    <w:rsid w:val="00B24CFC"/>
    <w:rsid w:val="00B25004"/>
    <w:rsid w:val="00B260D9"/>
    <w:rsid w:val="00B26DD1"/>
    <w:rsid w:val="00B31627"/>
    <w:rsid w:val="00B316C6"/>
    <w:rsid w:val="00B32505"/>
    <w:rsid w:val="00B32C30"/>
    <w:rsid w:val="00B345C4"/>
    <w:rsid w:val="00B35602"/>
    <w:rsid w:val="00B35FCD"/>
    <w:rsid w:val="00B37427"/>
    <w:rsid w:val="00B37699"/>
    <w:rsid w:val="00B4024E"/>
    <w:rsid w:val="00B4329C"/>
    <w:rsid w:val="00B43DB4"/>
    <w:rsid w:val="00B44EDA"/>
    <w:rsid w:val="00B4519D"/>
    <w:rsid w:val="00B45BCD"/>
    <w:rsid w:val="00B45F93"/>
    <w:rsid w:val="00B46077"/>
    <w:rsid w:val="00B4719E"/>
    <w:rsid w:val="00B478B4"/>
    <w:rsid w:val="00B47DDC"/>
    <w:rsid w:val="00B503E8"/>
    <w:rsid w:val="00B51EC1"/>
    <w:rsid w:val="00B54462"/>
    <w:rsid w:val="00B54A1F"/>
    <w:rsid w:val="00B55FA9"/>
    <w:rsid w:val="00B56B1F"/>
    <w:rsid w:val="00B578C5"/>
    <w:rsid w:val="00B60DCF"/>
    <w:rsid w:val="00B61232"/>
    <w:rsid w:val="00B61B3A"/>
    <w:rsid w:val="00B62AFA"/>
    <w:rsid w:val="00B63AB4"/>
    <w:rsid w:val="00B63B94"/>
    <w:rsid w:val="00B63CBA"/>
    <w:rsid w:val="00B651BA"/>
    <w:rsid w:val="00B6735A"/>
    <w:rsid w:val="00B70351"/>
    <w:rsid w:val="00B727E5"/>
    <w:rsid w:val="00B72D05"/>
    <w:rsid w:val="00B72F50"/>
    <w:rsid w:val="00B73E13"/>
    <w:rsid w:val="00B76024"/>
    <w:rsid w:val="00B816F5"/>
    <w:rsid w:val="00B82E9A"/>
    <w:rsid w:val="00B83296"/>
    <w:rsid w:val="00B83DB3"/>
    <w:rsid w:val="00B83E85"/>
    <w:rsid w:val="00B83FCC"/>
    <w:rsid w:val="00B845B6"/>
    <w:rsid w:val="00B846EC"/>
    <w:rsid w:val="00B85FA4"/>
    <w:rsid w:val="00B86BDA"/>
    <w:rsid w:val="00B87244"/>
    <w:rsid w:val="00B87640"/>
    <w:rsid w:val="00B87918"/>
    <w:rsid w:val="00B92D25"/>
    <w:rsid w:val="00B93D09"/>
    <w:rsid w:val="00B943CF"/>
    <w:rsid w:val="00BA0DE1"/>
    <w:rsid w:val="00BA1C72"/>
    <w:rsid w:val="00BA3ADF"/>
    <w:rsid w:val="00BA48BD"/>
    <w:rsid w:val="00BA49D4"/>
    <w:rsid w:val="00BA4CFA"/>
    <w:rsid w:val="00BA4E72"/>
    <w:rsid w:val="00BA7778"/>
    <w:rsid w:val="00BB1BB1"/>
    <w:rsid w:val="00BB526B"/>
    <w:rsid w:val="00BB55BC"/>
    <w:rsid w:val="00BB6344"/>
    <w:rsid w:val="00BC0A7C"/>
    <w:rsid w:val="00BC0F95"/>
    <w:rsid w:val="00BC2EC5"/>
    <w:rsid w:val="00BC3041"/>
    <w:rsid w:val="00BC3318"/>
    <w:rsid w:val="00BC3822"/>
    <w:rsid w:val="00BC38B1"/>
    <w:rsid w:val="00BC62EF"/>
    <w:rsid w:val="00BC72B5"/>
    <w:rsid w:val="00BC7528"/>
    <w:rsid w:val="00BC7924"/>
    <w:rsid w:val="00BD0426"/>
    <w:rsid w:val="00BD1759"/>
    <w:rsid w:val="00BD1F36"/>
    <w:rsid w:val="00BD246B"/>
    <w:rsid w:val="00BD2717"/>
    <w:rsid w:val="00BD285A"/>
    <w:rsid w:val="00BD41FB"/>
    <w:rsid w:val="00BD4AC8"/>
    <w:rsid w:val="00BD4DA0"/>
    <w:rsid w:val="00BD6F4F"/>
    <w:rsid w:val="00BE190C"/>
    <w:rsid w:val="00BE28C2"/>
    <w:rsid w:val="00BE2E7D"/>
    <w:rsid w:val="00BE54E0"/>
    <w:rsid w:val="00BF04D7"/>
    <w:rsid w:val="00BF3067"/>
    <w:rsid w:val="00BF3F8F"/>
    <w:rsid w:val="00BF4299"/>
    <w:rsid w:val="00BF44D9"/>
    <w:rsid w:val="00BF4E61"/>
    <w:rsid w:val="00BF5ACB"/>
    <w:rsid w:val="00BF6008"/>
    <w:rsid w:val="00BF60B3"/>
    <w:rsid w:val="00BF709A"/>
    <w:rsid w:val="00BF76A3"/>
    <w:rsid w:val="00BF79AA"/>
    <w:rsid w:val="00C0123D"/>
    <w:rsid w:val="00C01DBB"/>
    <w:rsid w:val="00C02890"/>
    <w:rsid w:val="00C02F16"/>
    <w:rsid w:val="00C02F96"/>
    <w:rsid w:val="00C04159"/>
    <w:rsid w:val="00C05E6E"/>
    <w:rsid w:val="00C05EDD"/>
    <w:rsid w:val="00C0603D"/>
    <w:rsid w:val="00C062F6"/>
    <w:rsid w:val="00C115D4"/>
    <w:rsid w:val="00C11BE8"/>
    <w:rsid w:val="00C157CF"/>
    <w:rsid w:val="00C15BF7"/>
    <w:rsid w:val="00C16071"/>
    <w:rsid w:val="00C16D62"/>
    <w:rsid w:val="00C16DA1"/>
    <w:rsid w:val="00C17772"/>
    <w:rsid w:val="00C24793"/>
    <w:rsid w:val="00C24819"/>
    <w:rsid w:val="00C24A06"/>
    <w:rsid w:val="00C27425"/>
    <w:rsid w:val="00C30640"/>
    <w:rsid w:val="00C3079E"/>
    <w:rsid w:val="00C330EA"/>
    <w:rsid w:val="00C33CBA"/>
    <w:rsid w:val="00C3440C"/>
    <w:rsid w:val="00C34664"/>
    <w:rsid w:val="00C346D3"/>
    <w:rsid w:val="00C412E9"/>
    <w:rsid w:val="00C4171B"/>
    <w:rsid w:val="00C41AAF"/>
    <w:rsid w:val="00C42297"/>
    <w:rsid w:val="00C445A1"/>
    <w:rsid w:val="00C44689"/>
    <w:rsid w:val="00C44AE1"/>
    <w:rsid w:val="00C454D7"/>
    <w:rsid w:val="00C47ABD"/>
    <w:rsid w:val="00C50168"/>
    <w:rsid w:val="00C501D5"/>
    <w:rsid w:val="00C50A16"/>
    <w:rsid w:val="00C513F4"/>
    <w:rsid w:val="00C516B7"/>
    <w:rsid w:val="00C52E84"/>
    <w:rsid w:val="00C53622"/>
    <w:rsid w:val="00C54982"/>
    <w:rsid w:val="00C573D9"/>
    <w:rsid w:val="00C61DBC"/>
    <w:rsid w:val="00C6276A"/>
    <w:rsid w:val="00C65F20"/>
    <w:rsid w:val="00C667BC"/>
    <w:rsid w:val="00C66B5A"/>
    <w:rsid w:val="00C67B0C"/>
    <w:rsid w:val="00C71126"/>
    <w:rsid w:val="00C71645"/>
    <w:rsid w:val="00C7262F"/>
    <w:rsid w:val="00C7277F"/>
    <w:rsid w:val="00C73101"/>
    <w:rsid w:val="00C74940"/>
    <w:rsid w:val="00C76F0D"/>
    <w:rsid w:val="00C805E1"/>
    <w:rsid w:val="00C81BB1"/>
    <w:rsid w:val="00C83B45"/>
    <w:rsid w:val="00C8562D"/>
    <w:rsid w:val="00C86B00"/>
    <w:rsid w:val="00C86B68"/>
    <w:rsid w:val="00C87358"/>
    <w:rsid w:val="00C9036D"/>
    <w:rsid w:val="00C93EDD"/>
    <w:rsid w:val="00C945D2"/>
    <w:rsid w:val="00C946D6"/>
    <w:rsid w:val="00C953EF"/>
    <w:rsid w:val="00C970AA"/>
    <w:rsid w:val="00C97311"/>
    <w:rsid w:val="00CA04E0"/>
    <w:rsid w:val="00CA24E0"/>
    <w:rsid w:val="00CA32E5"/>
    <w:rsid w:val="00CA607B"/>
    <w:rsid w:val="00CA6AE8"/>
    <w:rsid w:val="00CA6FE6"/>
    <w:rsid w:val="00CA7B1E"/>
    <w:rsid w:val="00CB0748"/>
    <w:rsid w:val="00CB09D1"/>
    <w:rsid w:val="00CB0F57"/>
    <w:rsid w:val="00CB29F7"/>
    <w:rsid w:val="00CB3DE9"/>
    <w:rsid w:val="00CB619B"/>
    <w:rsid w:val="00CB79C6"/>
    <w:rsid w:val="00CC0088"/>
    <w:rsid w:val="00CC13F5"/>
    <w:rsid w:val="00CC39FD"/>
    <w:rsid w:val="00CC443A"/>
    <w:rsid w:val="00CC4742"/>
    <w:rsid w:val="00CC4EBA"/>
    <w:rsid w:val="00CC69D4"/>
    <w:rsid w:val="00CC77D7"/>
    <w:rsid w:val="00CD1386"/>
    <w:rsid w:val="00CD268E"/>
    <w:rsid w:val="00CD3FBE"/>
    <w:rsid w:val="00CD478F"/>
    <w:rsid w:val="00CD4E84"/>
    <w:rsid w:val="00CD6E7D"/>
    <w:rsid w:val="00CD70C5"/>
    <w:rsid w:val="00CD7753"/>
    <w:rsid w:val="00CE0176"/>
    <w:rsid w:val="00CE0A98"/>
    <w:rsid w:val="00CE1B6E"/>
    <w:rsid w:val="00CE395F"/>
    <w:rsid w:val="00CE4DE5"/>
    <w:rsid w:val="00CE5E30"/>
    <w:rsid w:val="00CE7205"/>
    <w:rsid w:val="00CF24A0"/>
    <w:rsid w:val="00CF2CD0"/>
    <w:rsid w:val="00CF2EF5"/>
    <w:rsid w:val="00CF356A"/>
    <w:rsid w:val="00CF3AF5"/>
    <w:rsid w:val="00CF4251"/>
    <w:rsid w:val="00CF527B"/>
    <w:rsid w:val="00CF7101"/>
    <w:rsid w:val="00D0007D"/>
    <w:rsid w:val="00D00234"/>
    <w:rsid w:val="00D00943"/>
    <w:rsid w:val="00D00BD8"/>
    <w:rsid w:val="00D027C5"/>
    <w:rsid w:val="00D02F5A"/>
    <w:rsid w:val="00D0360C"/>
    <w:rsid w:val="00D04A4B"/>
    <w:rsid w:val="00D04B88"/>
    <w:rsid w:val="00D059F0"/>
    <w:rsid w:val="00D077A8"/>
    <w:rsid w:val="00D1022B"/>
    <w:rsid w:val="00D116D2"/>
    <w:rsid w:val="00D11E83"/>
    <w:rsid w:val="00D12160"/>
    <w:rsid w:val="00D138D2"/>
    <w:rsid w:val="00D13B66"/>
    <w:rsid w:val="00D14B6E"/>
    <w:rsid w:val="00D15BE3"/>
    <w:rsid w:val="00D15C08"/>
    <w:rsid w:val="00D15E25"/>
    <w:rsid w:val="00D163B8"/>
    <w:rsid w:val="00D178D1"/>
    <w:rsid w:val="00D22B56"/>
    <w:rsid w:val="00D25CA2"/>
    <w:rsid w:val="00D25DE8"/>
    <w:rsid w:val="00D26398"/>
    <w:rsid w:val="00D273EF"/>
    <w:rsid w:val="00D2780E"/>
    <w:rsid w:val="00D27948"/>
    <w:rsid w:val="00D27B25"/>
    <w:rsid w:val="00D31229"/>
    <w:rsid w:val="00D318CF"/>
    <w:rsid w:val="00D32A1B"/>
    <w:rsid w:val="00D3302E"/>
    <w:rsid w:val="00D3407B"/>
    <w:rsid w:val="00D37B0D"/>
    <w:rsid w:val="00D429E9"/>
    <w:rsid w:val="00D431D8"/>
    <w:rsid w:val="00D45706"/>
    <w:rsid w:val="00D462B9"/>
    <w:rsid w:val="00D4635F"/>
    <w:rsid w:val="00D51AB5"/>
    <w:rsid w:val="00D525D9"/>
    <w:rsid w:val="00D52DD6"/>
    <w:rsid w:val="00D5308D"/>
    <w:rsid w:val="00D53781"/>
    <w:rsid w:val="00D53D01"/>
    <w:rsid w:val="00D540B4"/>
    <w:rsid w:val="00D5495F"/>
    <w:rsid w:val="00D55B59"/>
    <w:rsid w:val="00D5638B"/>
    <w:rsid w:val="00D56DBA"/>
    <w:rsid w:val="00D6017D"/>
    <w:rsid w:val="00D60E3B"/>
    <w:rsid w:val="00D61F54"/>
    <w:rsid w:val="00D62003"/>
    <w:rsid w:val="00D6263A"/>
    <w:rsid w:val="00D62692"/>
    <w:rsid w:val="00D628D3"/>
    <w:rsid w:val="00D63D50"/>
    <w:rsid w:val="00D66BD1"/>
    <w:rsid w:val="00D673E0"/>
    <w:rsid w:val="00D67BB8"/>
    <w:rsid w:val="00D70674"/>
    <w:rsid w:val="00D718E5"/>
    <w:rsid w:val="00D71F79"/>
    <w:rsid w:val="00D72813"/>
    <w:rsid w:val="00D72F23"/>
    <w:rsid w:val="00D743AA"/>
    <w:rsid w:val="00D74E55"/>
    <w:rsid w:val="00D7601F"/>
    <w:rsid w:val="00D76E1B"/>
    <w:rsid w:val="00D77A65"/>
    <w:rsid w:val="00D77C45"/>
    <w:rsid w:val="00D80386"/>
    <w:rsid w:val="00D8248D"/>
    <w:rsid w:val="00D82A53"/>
    <w:rsid w:val="00D83034"/>
    <w:rsid w:val="00D84C6F"/>
    <w:rsid w:val="00D84EDE"/>
    <w:rsid w:val="00D85273"/>
    <w:rsid w:val="00D86100"/>
    <w:rsid w:val="00D876F7"/>
    <w:rsid w:val="00D87CE8"/>
    <w:rsid w:val="00D9058B"/>
    <w:rsid w:val="00D9131C"/>
    <w:rsid w:val="00D91458"/>
    <w:rsid w:val="00D92EE3"/>
    <w:rsid w:val="00D93142"/>
    <w:rsid w:val="00D93AB8"/>
    <w:rsid w:val="00D93AC6"/>
    <w:rsid w:val="00D93B0C"/>
    <w:rsid w:val="00D93D43"/>
    <w:rsid w:val="00D957BE"/>
    <w:rsid w:val="00D96612"/>
    <w:rsid w:val="00D967EF"/>
    <w:rsid w:val="00D9685D"/>
    <w:rsid w:val="00D96FEA"/>
    <w:rsid w:val="00D9784A"/>
    <w:rsid w:val="00DA0D81"/>
    <w:rsid w:val="00DA12AB"/>
    <w:rsid w:val="00DA1704"/>
    <w:rsid w:val="00DA19C6"/>
    <w:rsid w:val="00DA347E"/>
    <w:rsid w:val="00DA4C26"/>
    <w:rsid w:val="00DA4D96"/>
    <w:rsid w:val="00DA5555"/>
    <w:rsid w:val="00DA5597"/>
    <w:rsid w:val="00DA7259"/>
    <w:rsid w:val="00DA7822"/>
    <w:rsid w:val="00DB1923"/>
    <w:rsid w:val="00DB1FDE"/>
    <w:rsid w:val="00DB2664"/>
    <w:rsid w:val="00DB3A41"/>
    <w:rsid w:val="00DB4879"/>
    <w:rsid w:val="00DB5B00"/>
    <w:rsid w:val="00DB631E"/>
    <w:rsid w:val="00DB6399"/>
    <w:rsid w:val="00DC03C0"/>
    <w:rsid w:val="00DC13B0"/>
    <w:rsid w:val="00DC2182"/>
    <w:rsid w:val="00DC254A"/>
    <w:rsid w:val="00DC3902"/>
    <w:rsid w:val="00DC4081"/>
    <w:rsid w:val="00DC470E"/>
    <w:rsid w:val="00DC4F39"/>
    <w:rsid w:val="00DC4F46"/>
    <w:rsid w:val="00DC6ABD"/>
    <w:rsid w:val="00DC6E6D"/>
    <w:rsid w:val="00DC77E6"/>
    <w:rsid w:val="00DD0719"/>
    <w:rsid w:val="00DD0FC6"/>
    <w:rsid w:val="00DD1010"/>
    <w:rsid w:val="00DD280E"/>
    <w:rsid w:val="00DD34F8"/>
    <w:rsid w:val="00DD4C58"/>
    <w:rsid w:val="00DD52DD"/>
    <w:rsid w:val="00DD5A4C"/>
    <w:rsid w:val="00DD646B"/>
    <w:rsid w:val="00DD69E4"/>
    <w:rsid w:val="00DD71A4"/>
    <w:rsid w:val="00DD785D"/>
    <w:rsid w:val="00DE0E7D"/>
    <w:rsid w:val="00DE1553"/>
    <w:rsid w:val="00DE1E87"/>
    <w:rsid w:val="00DE31A3"/>
    <w:rsid w:val="00DE358C"/>
    <w:rsid w:val="00DE4503"/>
    <w:rsid w:val="00DE6865"/>
    <w:rsid w:val="00DE785B"/>
    <w:rsid w:val="00DF0598"/>
    <w:rsid w:val="00DF1304"/>
    <w:rsid w:val="00DF19E2"/>
    <w:rsid w:val="00DF1A92"/>
    <w:rsid w:val="00DF219B"/>
    <w:rsid w:val="00DF2599"/>
    <w:rsid w:val="00DF25FD"/>
    <w:rsid w:val="00DF358D"/>
    <w:rsid w:val="00DF65B2"/>
    <w:rsid w:val="00DF7770"/>
    <w:rsid w:val="00E0055C"/>
    <w:rsid w:val="00E00801"/>
    <w:rsid w:val="00E00A52"/>
    <w:rsid w:val="00E00E10"/>
    <w:rsid w:val="00E01EF9"/>
    <w:rsid w:val="00E0278A"/>
    <w:rsid w:val="00E03850"/>
    <w:rsid w:val="00E03A4D"/>
    <w:rsid w:val="00E051E3"/>
    <w:rsid w:val="00E05567"/>
    <w:rsid w:val="00E06C96"/>
    <w:rsid w:val="00E07092"/>
    <w:rsid w:val="00E07960"/>
    <w:rsid w:val="00E120BC"/>
    <w:rsid w:val="00E1495E"/>
    <w:rsid w:val="00E14F87"/>
    <w:rsid w:val="00E153F6"/>
    <w:rsid w:val="00E20171"/>
    <w:rsid w:val="00E202FD"/>
    <w:rsid w:val="00E20D84"/>
    <w:rsid w:val="00E23428"/>
    <w:rsid w:val="00E26802"/>
    <w:rsid w:val="00E26AC9"/>
    <w:rsid w:val="00E26DD3"/>
    <w:rsid w:val="00E26EFC"/>
    <w:rsid w:val="00E2721C"/>
    <w:rsid w:val="00E321CC"/>
    <w:rsid w:val="00E33130"/>
    <w:rsid w:val="00E33B0C"/>
    <w:rsid w:val="00E34CA4"/>
    <w:rsid w:val="00E35457"/>
    <w:rsid w:val="00E35B00"/>
    <w:rsid w:val="00E35B9F"/>
    <w:rsid w:val="00E36C97"/>
    <w:rsid w:val="00E4164A"/>
    <w:rsid w:val="00E43631"/>
    <w:rsid w:val="00E43842"/>
    <w:rsid w:val="00E43959"/>
    <w:rsid w:val="00E44367"/>
    <w:rsid w:val="00E4509B"/>
    <w:rsid w:val="00E458E1"/>
    <w:rsid w:val="00E4594A"/>
    <w:rsid w:val="00E4633B"/>
    <w:rsid w:val="00E46A1D"/>
    <w:rsid w:val="00E47699"/>
    <w:rsid w:val="00E47AE4"/>
    <w:rsid w:val="00E50E44"/>
    <w:rsid w:val="00E51561"/>
    <w:rsid w:val="00E51DFC"/>
    <w:rsid w:val="00E520AE"/>
    <w:rsid w:val="00E52866"/>
    <w:rsid w:val="00E52E3C"/>
    <w:rsid w:val="00E52FE2"/>
    <w:rsid w:val="00E53CC2"/>
    <w:rsid w:val="00E53FFB"/>
    <w:rsid w:val="00E540F5"/>
    <w:rsid w:val="00E558DB"/>
    <w:rsid w:val="00E55C3D"/>
    <w:rsid w:val="00E569C1"/>
    <w:rsid w:val="00E56E49"/>
    <w:rsid w:val="00E57329"/>
    <w:rsid w:val="00E57558"/>
    <w:rsid w:val="00E57D58"/>
    <w:rsid w:val="00E6253B"/>
    <w:rsid w:val="00E631F7"/>
    <w:rsid w:val="00E670CA"/>
    <w:rsid w:val="00E67F71"/>
    <w:rsid w:val="00E709BE"/>
    <w:rsid w:val="00E72650"/>
    <w:rsid w:val="00E737C0"/>
    <w:rsid w:val="00E73FDC"/>
    <w:rsid w:val="00E74171"/>
    <w:rsid w:val="00E75A65"/>
    <w:rsid w:val="00E75AF8"/>
    <w:rsid w:val="00E77CC4"/>
    <w:rsid w:val="00E80D8D"/>
    <w:rsid w:val="00E82B96"/>
    <w:rsid w:val="00E8311B"/>
    <w:rsid w:val="00E8456D"/>
    <w:rsid w:val="00E847B0"/>
    <w:rsid w:val="00E85737"/>
    <w:rsid w:val="00E85BBB"/>
    <w:rsid w:val="00E90872"/>
    <w:rsid w:val="00E90E69"/>
    <w:rsid w:val="00E91BDE"/>
    <w:rsid w:val="00E921AE"/>
    <w:rsid w:val="00E943EE"/>
    <w:rsid w:val="00E95BF2"/>
    <w:rsid w:val="00E971D8"/>
    <w:rsid w:val="00E97948"/>
    <w:rsid w:val="00E9796E"/>
    <w:rsid w:val="00E97D96"/>
    <w:rsid w:val="00EA0611"/>
    <w:rsid w:val="00EA0EEF"/>
    <w:rsid w:val="00EA3256"/>
    <w:rsid w:val="00EA4C1E"/>
    <w:rsid w:val="00EA5B9D"/>
    <w:rsid w:val="00EA622C"/>
    <w:rsid w:val="00EA66F9"/>
    <w:rsid w:val="00EA6D32"/>
    <w:rsid w:val="00EA7A50"/>
    <w:rsid w:val="00EB0370"/>
    <w:rsid w:val="00EB0800"/>
    <w:rsid w:val="00EB0B83"/>
    <w:rsid w:val="00EB0CDD"/>
    <w:rsid w:val="00EB32C5"/>
    <w:rsid w:val="00EB3B23"/>
    <w:rsid w:val="00EB434B"/>
    <w:rsid w:val="00EB5412"/>
    <w:rsid w:val="00EB7DDB"/>
    <w:rsid w:val="00EC162F"/>
    <w:rsid w:val="00EC363B"/>
    <w:rsid w:val="00EC5A34"/>
    <w:rsid w:val="00EC70DB"/>
    <w:rsid w:val="00EC710C"/>
    <w:rsid w:val="00ED0E03"/>
    <w:rsid w:val="00ED2C69"/>
    <w:rsid w:val="00ED712F"/>
    <w:rsid w:val="00EE01E9"/>
    <w:rsid w:val="00EE036D"/>
    <w:rsid w:val="00EE2DC2"/>
    <w:rsid w:val="00EE4AC3"/>
    <w:rsid w:val="00EE5156"/>
    <w:rsid w:val="00EE51C2"/>
    <w:rsid w:val="00EE5769"/>
    <w:rsid w:val="00EE6CB7"/>
    <w:rsid w:val="00EF3726"/>
    <w:rsid w:val="00EF754A"/>
    <w:rsid w:val="00F001B4"/>
    <w:rsid w:val="00F00FAE"/>
    <w:rsid w:val="00F01A21"/>
    <w:rsid w:val="00F01A66"/>
    <w:rsid w:val="00F01C60"/>
    <w:rsid w:val="00F02013"/>
    <w:rsid w:val="00F03DE8"/>
    <w:rsid w:val="00F07526"/>
    <w:rsid w:val="00F07A2B"/>
    <w:rsid w:val="00F11C8A"/>
    <w:rsid w:val="00F12F8D"/>
    <w:rsid w:val="00F134A9"/>
    <w:rsid w:val="00F14CA0"/>
    <w:rsid w:val="00F1510A"/>
    <w:rsid w:val="00F15DDF"/>
    <w:rsid w:val="00F17791"/>
    <w:rsid w:val="00F2018D"/>
    <w:rsid w:val="00F21CC4"/>
    <w:rsid w:val="00F22144"/>
    <w:rsid w:val="00F22157"/>
    <w:rsid w:val="00F245A7"/>
    <w:rsid w:val="00F26060"/>
    <w:rsid w:val="00F26328"/>
    <w:rsid w:val="00F276B1"/>
    <w:rsid w:val="00F30FA7"/>
    <w:rsid w:val="00F313F6"/>
    <w:rsid w:val="00F36A29"/>
    <w:rsid w:val="00F3719E"/>
    <w:rsid w:val="00F40727"/>
    <w:rsid w:val="00F40A3D"/>
    <w:rsid w:val="00F410EB"/>
    <w:rsid w:val="00F41E34"/>
    <w:rsid w:val="00F423D3"/>
    <w:rsid w:val="00F43013"/>
    <w:rsid w:val="00F437E2"/>
    <w:rsid w:val="00F4389A"/>
    <w:rsid w:val="00F45382"/>
    <w:rsid w:val="00F47EE6"/>
    <w:rsid w:val="00F506D3"/>
    <w:rsid w:val="00F550AF"/>
    <w:rsid w:val="00F55FE1"/>
    <w:rsid w:val="00F575B4"/>
    <w:rsid w:val="00F57C13"/>
    <w:rsid w:val="00F610CA"/>
    <w:rsid w:val="00F613CB"/>
    <w:rsid w:val="00F63DA2"/>
    <w:rsid w:val="00F63F44"/>
    <w:rsid w:val="00F65300"/>
    <w:rsid w:val="00F67F68"/>
    <w:rsid w:val="00F71FA2"/>
    <w:rsid w:val="00F720E7"/>
    <w:rsid w:val="00F7227E"/>
    <w:rsid w:val="00F72E87"/>
    <w:rsid w:val="00F74A9B"/>
    <w:rsid w:val="00F8095D"/>
    <w:rsid w:val="00F8225E"/>
    <w:rsid w:val="00F851EF"/>
    <w:rsid w:val="00F8594D"/>
    <w:rsid w:val="00F86BED"/>
    <w:rsid w:val="00F86BF3"/>
    <w:rsid w:val="00F877B6"/>
    <w:rsid w:val="00F90BC7"/>
    <w:rsid w:val="00F924D8"/>
    <w:rsid w:val="00F92EE1"/>
    <w:rsid w:val="00F9345A"/>
    <w:rsid w:val="00F93BD2"/>
    <w:rsid w:val="00F93C24"/>
    <w:rsid w:val="00F94B71"/>
    <w:rsid w:val="00F956E8"/>
    <w:rsid w:val="00F96864"/>
    <w:rsid w:val="00F96CAF"/>
    <w:rsid w:val="00FA10BA"/>
    <w:rsid w:val="00FA28A4"/>
    <w:rsid w:val="00FA311F"/>
    <w:rsid w:val="00FA5505"/>
    <w:rsid w:val="00FA61B6"/>
    <w:rsid w:val="00FA6853"/>
    <w:rsid w:val="00FA6E2C"/>
    <w:rsid w:val="00FA7483"/>
    <w:rsid w:val="00FA7C9E"/>
    <w:rsid w:val="00FA7FBC"/>
    <w:rsid w:val="00FB007F"/>
    <w:rsid w:val="00FB01B6"/>
    <w:rsid w:val="00FB0360"/>
    <w:rsid w:val="00FB0AF5"/>
    <w:rsid w:val="00FB115A"/>
    <w:rsid w:val="00FB12A7"/>
    <w:rsid w:val="00FB1555"/>
    <w:rsid w:val="00FB1B83"/>
    <w:rsid w:val="00FB37B0"/>
    <w:rsid w:val="00FB412A"/>
    <w:rsid w:val="00FB4633"/>
    <w:rsid w:val="00FB5CE7"/>
    <w:rsid w:val="00FB5D4C"/>
    <w:rsid w:val="00FB6B01"/>
    <w:rsid w:val="00FB793D"/>
    <w:rsid w:val="00FB7DA0"/>
    <w:rsid w:val="00FC03C3"/>
    <w:rsid w:val="00FC1D34"/>
    <w:rsid w:val="00FC3B28"/>
    <w:rsid w:val="00FC4E76"/>
    <w:rsid w:val="00FC5C09"/>
    <w:rsid w:val="00FC5CB1"/>
    <w:rsid w:val="00FC74EF"/>
    <w:rsid w:val="00FC7B21"/>
    <w:rsid w:val="00FD1466"/>
    <w:rsid w:val="00FD19FE"/>
    <w:rsid w:val="00FD1EE9"/>
    <w:rsid w:val="00FD256F"/>
    <w:rsid w:val="00FD4D48"/>
    <w:rsid w:val="00FD5692"/>
    <w:rsid w:val="00FD5F8B"/>
    <w:rsid w:val="00FD6B97"/>
    <w:rsid w:val="00FD7355"/>
    <w:rsid w:val="00FE18BD"/>
    <w:rsid w:val="00FE2656"/>
    <w:rsid w:val="00FE2682"/>
    <w:rsid w:val="00FE33F8"/>
    <w:rsid w:val="00FE48B0"/>
    <w:rsid w:val="00FE51FB"/>
    <w:rsid w:val="00FE5597"/>
    <w:rsid w:val="00FE5A94"/>
    <w:rsid w:val="00FE6E2F"/>
    <w:rsid w:val="00FF0AAD"/>
    <w:rsid w:val="00FF0E49"/>
    <w:rsid w:val="00FF10CE"/>
    <w:rsid w:val="00FF18A6"/>
    <w:rsid w:val="00FF2308"/>
    <w:rsid w:val="00FF2A61"/>
    <w:rsid w:val="00FF77DF"/>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9597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nhideWhenUsed="0"/>
    <w:lsdException w:name="footer" w:unhideWhenUsed="0"/>
    <w:lsdException w:name="caption" w:qFormat="1"/>
    <w:lsdException w:name="annotation reference"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Hyperlink" w:uiPriority="99"/>
    <w:lsdException w:name="Strong" w:semiHidden="0"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uiPriority w:val="59"/>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 Bullets,목록 단락"/>
    <w:basedOn w:val="Normal"/>
    <w:link w:val="ListParagraphChar"/>
    <w:uiPriority w:val="34"/>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unhideWhenUsed/>
    <w:qFormat/>
    <w:rsid w:val="002C368B"/>
    <w:rPr>
      <w:sz w:val="21"/>
      <w:szCs w:val="21"/>
    </w:rPr>
  </w:style>
  <w:style w:type="paragraph" w:styleId="CommentText">
    <w:name w:val="annotation text"/>
    <w:basedOn w:val="Normal"/>
    <w:link w:val="CommentTextChar"/>
    <w:unhideWhenUsed/>
    <w:qFormat/>
    <w:rsid w:val="002C368B"/>
  </w:style>
  <w:style w:type="character" w:customStyle="1" w:styleId="CommentTextChar">
    <w:name w:val="Comment Text Char"/>
    <w:basedOn w:val="DefaultParagraphFont"/>
    <w:link w:val="CommentText"/>
    <w:qFormat/>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Caption Char2,Caption Char Char Char,Caption Char Char1,fig and tbl,fighead2,Table Caption,fighead21,fighead22,fighead23,fighead211"/>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uiPriority w:val="99"/>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Caption Char2 Char,Caption Char Char Char Char,fig and tbl Char"/>
    <w:link w:val="Caption"/>
    <w:rsid w:val="004C6A8B"/>
    <w:rPr>
      <w:b/>
      <w:lang w:val="en-GB" w:eastAsia="en-US"/>
    </w:rPr>
  </w:style>
  <w:style w:type="character" w:customStyle="1" w:styleId="ListParagraphChar">
    <w:name w:val="List Paragraph Char"/>
    <w:aliases w:val="- Bullets Char,목록 단락 Char"/>
    <w:link w:val="ListParagraph"/>
    <w:uiPriority w:val="34"/>
    <w:qFormat/>
    <w:locked/>
    <w:rsid w:val="00496CF4"/>
    <w:rPr>
      <w:szCs w:val="22"/>
    </w:rPr>
  </w:style>
  <w:style w:type="character" w:customStyle="1" w:styleId="def">
    <w:name w:val="def"/>
    <w:basedOn w:val="DefaultParagraphFont"/>
    <w:rsid w:val="003C18A9"/>
  </w:style>
  <w:style w:type="paragraph" w:customStyle="1" w:styleId="Normalwithindent">
    <w:name w:val="Normal with indent"/>
    <w:basedOn w:val="Normal"/>
    <w:link w:val="NormalwithindentChar"/>
    <w:qFormat/>
    <w:rsid w:val="00331C94"/>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rsid w:val="00331C94"/>
    <w:rPr>
      <w:rFonts w:eastAsia="Malgun Gothic"/>
      <w:lang w:val="en-GB"/>
    </w:rPr>
  </w:style>
  <w:style w:type="paragraph" w:styleId="NoSpacing">
    <w:name w:val="No Spacing"/>
    <w:uiPriority w:val="1"/>
    <w:qFormat/>
    <w:rsid w:val="00FF77DF"/>
    <w:rPr>
      <w:rFonts w:ascii="Calibri" w:eastAsia="SimSun" w:hAnsi="Calibri"/>
      <w:sz w:val="22"/>
      <w:szCs w:val="22"/>
    </w:rPr>
  </w:style>
  <w:style w:type="paragraph" w:customStyle="1" w:styleId="maintext">
    <w:name w:val="main text"/>
    <w:basedOn w:val="Normal"/>
    <w:link w:val="maintextChar"/>
    <w:qFormat/>
    <w:rsid w:val="00EB32C5"/>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EB32C5"/>
    <w:rPr>
      <w:rFonts w:eastAsia="Malgun Gothic"/>
      <w:lang w:val="en-GB" w:eastAsia="ko-KR"/>
    </w:rPr>
  </w:style>
  <w:style w:type="paragraph" w:customStyle="1" w:styleId="ordinary-output">
    <w:name w:val="ordinary-output"/>
    <w:basedOn w:val="Normal"/>
    <w:rsid w:val="00AA55C8"/>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rsid w:val="00675DE7"/>
  </w:style>
  <w:style w:type="character" w:customStyle="1" w:styleId="high-light-bg4">
    <w:name w:val="high-light-bg4"/>
    <w:basedOn w:val="DefaultParagraphFont"/>
    <w:rsid w:val="00B14297"/>
  </w:style>
  <w:style w:type="character" w:customStyle="1" w:styleId="apple-converted-space">
    <w:name w:val="apple-converted-space"/>
    <w:basedOn w:val="DefaultParagraphFont"/>
    <w:rsid w:val="004E076E"/>
  </w:style>
</w:styles>
</file>

<file path=word/webSettings.xml><?xml version="1.0" encoding="utf-8"?>
<w:webSettings xmlns:r="http://schemas.openxmlformats.org/officeDocument/2006/relationships" xmlns:w="http://schemas.openxmlformats.org/wordprocessingml/2006/main">
  <w:divs>
    <w:div w:id="23024645">
      <w:bodyDiv w:val="1"/>
      <w:marLeft w:val="0"/>
      <w:marRight w:val="0"/>
      <w:marTop w:val="0"/>
      <w:marBottom w:val="0"/>
      <w:divBdr>
        <w:top w:val="none" w:sz="0" w:space="0" w:color="auto"/>
        <w:left w:val="none" w:sz="0" w:space="0" w:color="auto"/>
        <w:bottom w:val="none" w:sz="0" w:space="0" w:color="auto"/>
        <w:right w:val="none" w:sz="0" w:space="0" w:color="auto"/>
      </w:divBdr>
      <w:divsChild>
        <w:div w:id="604193406">
          <w:marLeft w:val="0"/>
          <w:marRight w:val="0"/>
          <w:marTop w:val="0"/>
          <w:marBottom w:val="0"/>
          <w:divBdr>
            <w:top w:val="none" w:sz="0" w:space="0" w:color="auto"/>
            <w:left w:val="none" w:sz="0" w:space="0" w:color="auto"/>
            <w:bottom w:val="none" w:sz="0" w:space="0" w:color="auto"/>
            <w:right w:val="none" w:sz="0" w:space="0" w:color="auto"/>
          </w:divBdr>
          <w:divsChild>
            <w:div w:id="1295796910">
              <w:marLeft w:val="0"/>
              <w:marRight w:val="0"/>
              <w:marTop w:val="0"/>
              <w:marBottom w:val="0"/>
              <w:divBdr>
                <w:top w:val="none" w:sz="0" w:space="0" w:color="auto"/>
                <w:left w:val="none" w:sz="0" w:space="0" w:color="auto"/>
                <w:bottom w:val="none" w:sz="0" w:space="0" w:color="auto"/>
                <w:right w:val="none" w:sz="0" w:space="0" w:color="auto"/>
              </w:divBdr>
              <w:divsChild>
                <w:div w:id="1892497430">
                  <w:marLeft w:val="0"/>
                  <w:marRight w:val="0"/>
                  <w:marTop w:val="0"/>
                  <w:marBottom w:val="0"/>
                  <w:divBdr>
                    <w:top w:val="none" w:sz="0" w:space="0" w:color="auto"/>
                    <w:left w:val="none" w:sz="0" w:space="0" w:color="auto"/>
                    <w:bottom w:val="none" w:sz="0" w:space="0" w:color="auto"/>
                    <w:right w:val="none" w:sz="0" w:space="0" w:color="auto"/>
                  </w:divBdr>
                  <w:divsChild>
                    <w:div w:id="1286304545">
                      <w:marLeft w:val="0"/>
                      <w:marRight w:val="0"/>
                      <w:marTop w:val="0"/>
                      <w:marBottom w:val="0"/>
                      <w:divBdr>
                        <w:top w:val="none" w:sz="0" w:space="0" w:color="auto"/>
                        <w:left w:val="none" w:sz="0" w:space="0" w:color="auto"/>
                        <w:bottom w:val="none" w:sz="0" w:space="0" w:color="auto"/>
                        <w:right w:val="none" w:sz="0" w:space="0" w:color="auto"/>
                      </w:divBdr>
                      <w:divsChild>
                        <w:div w:id="629096171">
                          <w:marLeft w:val="0"/>
                          <w:marRight w:val="0"/>
                          <w:marTop w:val="0"/>
                          <w:marBottom w:val="751"/>
                          <w:divBdr>
                            <w:top w:val="none" w:sz="0" w:space="0" w:color="auto"/>
                            <w:left w:val="none" w:sz="0" w:space="0" w:color="auto"/>
                            <w:bottom w:val="none" w:sz="0" w:space="0" w:color="auto"/>
                            <w:right w:val="none" w:sz="0" w:space="0" w:color="auto"/>
                          </w:divBdr>
                          <w:divsChild>
                            <w:div w:id="878782751">
                              <w:marLeft w:val="0"/>
                              <w:marRight w:val="0"/>
                              <w:marTop w:val="0"/>
                              <w:marBottom w:val="0"/>
                              <w:divBdr>
                                <w:top w:val="none" w:sz="0" w:space="0" w:color="auto"/>
                                <w:left w:val="none" w:sz="0" w:space="0" w:color="auto"/>
                                <w:bottom w:val="none" w:sz="0" w:space="0" w:color="auto"/>
                                <w:right w:val="none" w:sz="0" w:space="0" w:color="auto"/>
                              </w:divBdr>
                              <w:divsChild>
                                <w:div w:id="1364015556">
                                  <w:marLeft w:val="0"/>
                                  <w:marRight w:val="0"/>
                                  <w:marTop w:val="0"/>
                                  <w:marBottom w:val="0"/>
                                  <w:divBdr>
                                    <w:top w:val="none" w:sz="0" w:space="0" w:color="auto"/>
                                    <w:left w:val="none" w:sz="0" w:space="0" w:color="auto"/>
                                    <w:bottom w:val="none" w:sz="0" w:space="0" w:color="auto"/>
                                    <w:right w:val="none" w:sz="0" w:space="0" w:color="auto"/>
                                  </w:divBdr>
                                  <w:divsChild>
                                    <w:div w:id="1628243046">
                                      <w:marLeft w:val="0"/>
                                      <w:marRight w:val="0"/>
                                      <w:marTop w:val="0"/>
                                      <w:marBottom w:val="0"/>
                                      <w:divBdr>
                                        <w:top w:val="none" w:sz="0" w:space="0" w:color="auto"/>
                                        <w:left w:val="none" w:sz="0" w:space="0" w:color="auto"/>
                                        <w:bottom w:val="none" w:sz="0" w:space="0" w:color="auto"/>
                                        <w:right w:val="none" w:sz="0" w:space="0" w:color="auto"/>
                                      </w:divBdr>
                                      <w:divsChild>
                                        <w:div w:id="263005446">
                                          <w:marLeft w:val="0"/>
                                          <w:marRight w:val="0"/>
                                          <w:marTop w:val="0"/>
                                          <w:marBottom w:val="0"/>
                                          <w:divBdr>
                                            <w:top w:val="none" w:sz="0" w:space="0" w:color="auto"/>
                                            <w:left w:val="none" w:sz="0" w:space="0" w:color="auto"/>
                                            <w:bottom w:val="none" w:sz="0" w:space="0" w:color="auto"/>
                                            <w:right w:val="none" w:sz="0" w:space="0" w:color="auto"/>
                                          </w:divBdr>
                                          <w:divsChild>
                                            <w:div w:id="1498426545">
                                              <w:marLeft w:val="0"/>
                                              <w:marRight w:val="0"/>
                                              <w:marTop w:val="0"/>
                                              <w:marBottom w:val="0"/>
                                              <w:divBdr>
                                                <w:top w:val="single" w:sz="4" w:space="0" w:color="EEEEEE"/>
                                                <w:left w:val="single" w:sz="2" w:space="0" w:color="EEEEEE"/>
                                                <w:bottom w:val="single" w:sz="4" w:space="0" w:color="EEEEEE"/>
                                                <w:right w:val="single" w:sz="4" w:space="0" w:color="EEEEEE"/>
                                              </w:divBdr>
                                              <w:divsChild>
                                                <w:div w:id="84063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8484080">
      <w:bodyDiv w:val="1"/>
      <w:marLeft w:val="0"/>
      <w:marRight w:val="0"/>
      <w:marTop w:val="0"/>
      <w:marBottom w:val="0"/>
      <w:divBdr>
        <w:top w:val="none" w:sz="0" w:space="0" w:color="auto"/>
        <w:left w:val="none" w:sz="0" w:space="0" w:color="auto"/>
        <w:bottom w:val="none" w:sz="0" w:space="0" w:color="auto"/>
        <w:right w:val="none" w:sz="0" w:space="0" w:color="auto"/>
      </w:divBdr>
    </w:div>
    <w:div w:id="130251877">
      <w:bodyDiv w:val="1"/>
      <w:marLeft w:val="0"/>
      <w:marRight w:val="0"/>
      <w:marTop w:val="0"/>
      <w:marBottom w:val="0"/>
      <w:divBdr>
        <w:top w:val="none" w:sz="0" w:space="0" w:color="auto"/>
        <w:left w:val="none" w:sz="0" w:space="0" w:color="auto"/>
        <w:bottom w:val="none" w:sz="0" w:space="0" w:color="auto"/>
        <w:right w:val="none" w:sz="0" w:space="0" w:color="auto"/>
      </w:divBdr>
    </w:div>
    <w:div w:id="398525482">
      <w:bodyDiv w:val="1"/>
      <w:marLeft w:val="0"/>
      <w:marRight w:val="0"/>
      <w:marTop w:val="0"/>
      <w:marBottom w:val="0"/>
      <w:divBdr>
        <w:top w:val="none" w:sz="0" w:space="0" w:color="auto"/>
        <w:left w:val="none" w:sz="0" w:space="0" w:color="auto"/>
        <w:bottom w:val="none" w:sz="0" w:space="0" w:color="auto"/>
        <w:right w:val="none" w:sz="0" w:space="0" w:color="auto"/>
      </w:divBdr>
      <w:divsChild>
        <w:div w:id="495339522">
          <w:marLeft w:val="0"/>
          <w:marRight w:val="0"/>
          <w:marTop w:val="0"/>
          <w:marBottom w:val="0"/>
          <w:divBdr>
            <w:top w:val="none" w:sz="0" w:space="0" w:color="auto"/>
            <w:left w:val="none" w:sz="0" w:space="0" w:color="auto"/>
            <w:bottom w:val="none" w:sz="0" w:space="0" w:color="auto"/>
            <w:right w:val="none" w:sz="0" w:space="0" w:color="auto"/>
          </w:divBdr>
          <w:divsChild>
            <w:div w:id="1625190098">
              <w:marLeft w:val="0"/>
              <w:marRight w:val="0"/>
              <w:marTop w:val="0"/>
              <w:marBottom w:val="0"/>
              <w:divBdr>
                <w:top w:val="none" w:sz="0" w:space="0" w:color="auto"/>
                <w:left w:val="none" w:sz="0" w:space="0" w:color="auto"/>
                <w:bottom w:val="none" w:sz="0" w:space="0" w:color="auto"/>
                <w:right w:val="none" w:sz="0" w:space="0" w:color="auto"/>
              </w:divBdr>
              <w:divsChild>
                <w:div w:id="532690076">
                  <w:marLeft w:val="0"/>
                  <w:marRight w:val="0"/>
                  <w:marTop w:val="0"/>
                  <w:marBottom w:val="0"/>
                  <w:divBdr>
                    <w:top w:val="none" w:sz="0" w:space="0" w:color="auto"/>
                    <w:left w:val="none" w:sz="0" w:space="0" w:color="auto"/>
                    <w:bottom w:val="none" w:sz="0" w:space="0" w:color="auto"/>
                    <w:right w:val="none" w:sz="0" w:space="0" w:color="auto"/>
                  </w:divBdr>
                  <w:divsChild>
                    <w:div w:id="13581560">
                      <w:marLeft w:val="0"/>
                      <w:marRight w:val="0"/>
                      <w:marTop w:val="0"/>
                      <w:marBottom w:val="0"/>
                      <w:divBdr>
                        <w:top w:val="none" w:sz="0" w:space="0" w:color="auto"/>
                        <w:left w:val="none" w:sz="0" w:space="0" w:color="auto"/>
                        <w:bottom w:val="none" w:sz="0" w:space="0" w:color="auto"/>
                        <w:right w:val="none" w:sz="0" w:space="0" w:color="auto"/>
                      </w:divBdr>
                      <w:divsChild>
                        <w:div w:id="47942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537206229">
      <w:bodyDiv w:val="1"/>
      <w:marLeft w:val="0"/>
      <w:marRight w:val="0"/>
      <w:marTop w:val="0"/>
      <w:marBottom w:val="0"/>
      <w:divBdr>
        <w:top w:val="none" w:sz="0" w:space="0" w:color="auto"/>
        <w:left w:val="none" w:sz="0" w:space="0" w:color="auto"/>
        <w:bottom w:val="none" w:sz="0" w:space="0" w:color="auto"/>
        <w:right w:val="none" w:sz="0" w:space="0" w:color="auto"/>
      </w:divBdr>
      <w:divsChild>
        <w:div w:id="1850558526">
          <w:marLeft w:val="0"/>
          <w:marRight w:val="0"/>
          <w:marTop w:val="0"/>
          <w:marBottom w:val="0"/>
          <w:divBdr>
            <w:top w:val="none" w:sz="0" w:space="0" w:color="auto"/>
            <w:left w:val="none" w:sz="0" w:space="0" w:color="auto"/>
            <w:bottom w:val="none" w:sz="0" w:space="0" w:color="auto"/>
            <w:right w:val="none" w:sz="0" w:space="0" w:color="auto"/>
          </w:divBdr>
          <w:divsChild>
            <w:div w:id="1648238080">
              <w:marLeft w:val="0"/>
              <w:marRight w:val="0"/>
              <w:marTop w:val="0"/>
              <w:marBottom w:val="0"/>
              <w:divBdr>
                <w:top w:val="none" w:sz="0" w:space="0" w:color="auto"/>
                <w:left w:val="none" w:sz="0" w:space="0" w:color="auto"/>
                <w:bottom w:val="none" w:sz="0" w:space="0" w:color="auto"/>
                <w:right w:val="none" w:sz="0" w:space="0" w:color="auto"/>
              </w:divBdr>
              <w:divsChild>
                <w:div w:id="1232695687">
                  <w:marLeft w:val="0"/>
                  <w:marRight w:val="0"/>
                  <w:marTop w:val="0"/>
                  <w:marBottom w:val="0"/>
                  <w:divBdr>
                    <w:top w:val="none" w:sz="0" w:space="0" w:color="auto"/>
                    <w:left w:val="none" w:sz="0" w:space="0" w:color="auto"/>
                    <w:bottom w:val="none" w:sz="0" w:space="0" w:color="auto"/>
                    <w:right w:val="none" w:sz="0" w:space="0" w:color="auto"/>
                  </w:divBdr>
                  <w:divsChild>
                    <w:div w:id="2055038875">
                      <w:marLeft w:val="0"/>
                      <w:marRight w:val="0"/>
                      <w:marTop w:val="0"/>
                      <w:marBottom w:val="0"/>
                      <w:divBdr>
                        <w:top w:val="none" w:sz="0" w:space="0" w:color="auto"/>
                        <w:left w:val="none" w:sz="0" w:space="0" w:color="auto"/>
                        <w:bottom w:val="none" w:sz="0" w:space="0" w:color="auto"/>
                        <w:right w:val="none" w:sz="0" w:space="0" w:color="auto"/>
                      </w:divBdr>
                      <w:divsChild>
                        <w:div w:id="583998202">
                          <w:marLeft w:val="0"/>
                          <w:marRight w:val="0"/>
                          <w:marTop w:val="0"/>
                          <w:marBottom w:val="751"/>
                          <w:divBdr>
                            <w:top w:val="none" w:sz="0" w:space="0" w:color="auto"/>
                            <w:left w:val="none" w:sz="0" w:space="0" w:color="auto"/>
                            <w:bottom w:val="none" w:sz="0" w:space="0" w:color="auto"/>
                            <w:right w:val="none" w:sz="0" w:space="0" w:color="auto"/>
                          </w:divBdr>
                          <w:divsChild>
                            <w:div w:id="772440037">
                              <w:marLeft w:val="0"/>
                              <w:marRight w:val="0"/>
                              <w:marTop w:val="0"/>
                              <w:marBottom w:val="0"/>
                              <w:divBdr>
                                <w:top w:val="none" w:sz="0" w:space="0" w:color="auto"/>
                                <w:left w:val="none" w:sz="0" w:space="0" w:color="auto"/>
                                <w:bottom w:val="none" w:sz="0" w:space="0" w:color="auto"/>
                                <w:right w:val="none" w:sz="0" w:space="0" w:color="auto"/>
                              </w:divBdr>
                              <w:divsChild>
                                <w:div w:id="1525246464">
                                  <w:marLeft w:val="0"/>
                                  <w:marRight w:val="0"/>
                                  <w:marTop w:val="0"/>
                                  <w:marBottom w:val="0"/>
                                  <w:divBdr>
                                    <w:top w:val="none" w:sz="0" w:space="0" w:color="auto"/>
                                    <w:left w:val="none" w:sz="0" w:space="0" w:color="auto"/>
                                    <w:bottom w:val="none" w:sz="0" w:space="0" w:color="auto"/>
                                    <w:right w:val="none" w:sz="0" w:space="0" w:color="auto"/>
                                  </w:divBdr>
                                  <w:divsChild>
                                    <w:div w:id="1419138366">
                                      <w:marLeft w:val="0"/>
                                      <w:marRight w:val="0"/>
                                      <w:marTop w:val="0"/>
                                      <w:marBottom w:val="0"/>
                                      <w:divBdr>
                                        <w:top w:val="none" w:sz="0" w:space="0" w:color="auto"/>
                                        <w:left w:val="none" w:sz="0" w:space="0" w:color="auto"/>
                                        <w:bottom w:val="none" w:sz="0" w:space="0" w:color="auto"/>
                                        <w:right w:val="none" w:sz="0" w:space="0" w:color="auto"/>
                                      </w:divBdr>
                                      <w:divsChild>
                                        <w:div w:id="1180318639">
                                          <w:marLeft w:val="0"/>
                                          <w:marRight w:val="0"/>
                                          <w:marTop w:val="0"/>
                                          <w:marBottom w:val="0"/>
                                          <w:divBdr>
                                            <w:top w:val="none" w:sz="0" w:space="0" w:color="auto"/>
                                            <w:left w:val="none" w:sz="0" w:space="0" w:color="auto"/>
                                            <w:bottom w:val="none" w:sz="0" w:space="0" w:color="auto"/>
                                            <w:right w:val="none" w:sz="0" w:space="0" w:color="auto"/>
                                          </w:divBdr>
                                          <w:divsChild>
                                            <w:div w:id="431046912">
                                              <w:marLeft w:val="0"/>
                                              <w:marRight w:val="0"/>
                                              <w:marTop w:val="0"/>
                                              <w:marBottom w:val="0"/>
                                              <w:divBdr>
                                                <w:top w:val="single" w:sz="4" w:space="0" w:color="EEEEEE"/>
                                                <w:left w:val="single" w:sz="2" w:space="0" w:color="EEEEEE"/>
                                                <w:bottom w:val="single" w:sz="4" w:space="0" w:color="EEEEEE"/>
                                                <w:right w:val="single" w:sz="4" w:space="0" w:color="EEEEEE"/>
                                              </w:divBdr>
                                              <w:divsChild>
                                                <w:div w:id="127404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5970666">
      <w:bodyDiv w:val="1"/>
      <w:marLeft w:val="0"/>
      <w:marRight w:val="0"/>
      <w:marTop w:val="0"/>
      <w:marBottom w:val="0"/>
      <w:divBdr>
        <w:top w:val="none" w:sz="0" w:space="0" w:color="auto"/>
        <w:left w:val="none" w:sz="0" w:space="0" w:color="auto"/>
        <w:bottom w:val="none" w:sz="0" w:space="0" w:color="auto"/>
        <w:right w:val="none" w:sz="0" w:space="0" w:color="auto"/>
      </w:divBdr>
      <w:divsChild>
        <w:div w:id="768624556">
          <w:marLeft w:val="0"/>
          <w:marRight w:val="0"/>
          <w:marTop w:val="0"/>
          <w:marBottom w:val="0"/>
          <w:divBdr>
            <w:top w:val="none" w:sz="0" w:space="0" w:color="auto"/>
            <w:left w:val="none" w:sz="0" w:space="0" w:color="auto"/>
            <w:bottom w:val="none" w:sz="0" w:space="0" w:color="auto"/>
            <w:right w:val="none" w:sz="0" w:space="0" w:color="auto"/>
          </w:divBdr>
          <w:divsChild>
            <w:div w:id="1583565430">
              <w:marLeft w:val="0"/>
              <w:marRight w:val="0"/>
              <w:marTop w:val="0"/>
              <w:marBottom w:val="0"/>
              <w:divBdr>
                <w:top w:val="none" w:sz="0" w:space="0" w:color="auto"/>
                <w:left w:val="none" w:sz="0" w:space="0" w:color="auto"/>
                <w:bottom w:val="none" w:sz="0" w:space="0" w:color="auto"/>
                <w:right w:val="none" w:sz="0" w:space="0" w:color="auto"/>
              </w:divBdr>
              <w:divsChild>
                <w:div w:id="1222402794">
                  <w:marLeft w:val="0"/>
                  <w:marRight w:val="0"/>
                  <w:marTop w:val="0"/>
                  <w:marBottom w:val="0"/>
                  <w:divBdr>
                    <w:top w:val="none" w:sz="0" w:space="0" w:color="auto"/>
                    <w:left w:val="none" w:sz="0" w:space="0" w:color="auto"/>
                    <w:bottom w:val="none" w:sz="0" w:space="0" w:color="auto"/>
                    <w:right w:val="none" w:sz="0" w:space="0" w:color="auto"/>
                  </w:divBdr>
                  <w:divsChild>
                    <w:div w:id="2035424703">
                      <w:marLeft w:val="0"/>
                      <w:marRight w:val="0"/>
                      <w:marTop w:val="0"/>
                      <w:marBottom w:val="0"/>
                      <w:divBdr>
                        <w:top w:val="none" w:sz="0" w:space="0" w:color="auto"/>
                        <w:left w:val="none" w:sz="0" w:space="0" w:color="auto"/>
                        <w:bottom w:val="none" w:sz="0" w:space="0" w:color="auto"/>
                        <w:right w:val="none" w:sz="0" w:space="0" w:color="auto"/>
                      </w:divBdr>
                      <w:divsChild>
                        <w:div w:id="329988313">
                          <w:marLeft w:val="0"/>
                          <w:marRight w:val="0"/>
                          <w:marTop w:val="0"/>
                          <w:marBottom w:val="751"/>
                          <w:divBdr>
                            <w:top w:val="none" w:sz="0" w:space="0" w:color="auto"/>
                            <w:left w:val="none" w:sz="0" w:space="0" w:color="auto"/>
                            <w:bottom w:val="none" w:sz="0" w:space="0" w:color="auto"/>
                            <w:right w:val="none" w:sz="0" w:space="0" w:color="auto"/>
                          </w:divBdr>
                          <w:divsChild>
                            <w:div w:id="1799949707">
                              <w:marLeft w:val="0"/>
                              <w:marRight w:val="0"/>
                              <w:marTop w:val="0"/>
                              <w:marBottom w:val="0"/>
                              <w:divBdr>
                                <w:top w:val="none" w:sz="0" w:space="0" w:color="auto"/>
                                <w:left w:val="none" w:sz="0" w:space="0" w:color="auto"/>
                                <w:bottom w:val="none" w:sz="0" w:space="0" w:color="auto"/>
                                <w:right w:val="none" w:sz="0" w:space="0" w:color="auto"/>
                              </w:divBdr>
                              <w:divsChild>
                                <w:div w:id="1630744765">
                                  <w:marLeft w:val="0"/>
                                  <w:marRight w:val="0"/>
                                  <w:marTop w:val="0"/>
                                  <w:marBottom w:val="0"/>
                                  <w:divBdr>
                                    <w:top w:val="none" w:sz="0" w:space="0" w:color="auto"/>
                                    <w:left w:val="none" w:sz="0" w:space="0" w:color="auto"/>
                                    <w:bottom w:val="none" w:sz="0" w:space="0" w:color="auto"/>
                                    <w:right w:val="none" w:sz="0" w:space="0" w:color="auto"/>
                                  </w:divBdr>
                                  <w:divsChild>
                                    <w:div w:id="1182163644">
                                      <w:marLeft w:val="0"/>
                                      <w:marRight w:val="0"/>
                                      <w:marTop w:val="0"/>
                                      <w:marBottom w:val="0"/>
                                      <w:divBdr>
                                        <w:top w:val="none" w:sz="0" w:space="0" w:color="auto"/>
                                        <w:left w:val="none" w:sz="0" w:space="0" w:color="auto"/>
                                        <w:bottom w:val="none" w:sz="0" w:space="0" w:color="auto"/>
                                        <w:right w:val="none" w:sz="0" w:space="0" w:color="auto"/>
                                      </w:divBdr>
                                      <w:divsChild>
                                        <w:div w:id="1697581412">
                                          <w:marLeft w:val="0"/>
                                          <w:marRight w:val="0"/>
                                          <w:marTop w:val="0"/>
                                          <w:marBottom w:val="0"/>
                                          <w:divBdr>
                                            <w:top w:val="none" w:sz="0" w:space="0" w:color="auto"/>
                                            <w:left w:val="none" w:sz="0" w:space="0" w:color="auto"/>
                                            <w:bottom w:val="none" w:sz="0" w:space="0" w:color="auto"/>
                                            <w:right w:val="none" w:sz="0" w:space="0" w:color="auto"/>
                                          </w:divBdr>
                                          <w:divsChild>
                                            <w:div w:id="634725901">
                                              <w:marLeft w:val="0"/>
                                              <w:marRight w:val="0"/>
                                              <w:marTop w:val="0"/>
                                              <w:marBottom w:val="0"/>
                                              <w:divBdr>
                                                <w:top w:val="single" w:sz="4" w:space="0" w:color="EEEEEE"/>
                                                <w:left w:val="single" w:sz="2" w:space="0" w:color="EEEEEE"/>
                                                <w:bottom w:val="single" w:sz="4" w:space="0" w:color="EEEEEE"/>
                                                <w:right w:val="single" w:sz="4" w:space="0" w:color="EEEEEE"/>
                                              </w:divBdr>
                                              <w:divsChild>
                                                <w:div w:id="9740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88394716">
      <w:bodyDiv w:val="1"/>
      <w:marLeft w:val="0"/>
      <w:marRight w:val="0"/>
      <w:marTop w:val="0"/>
      <w:marBottom w:val="0"/>
      <w:divBdr>
        <w:top w:val="none" w:sz="0" w:space="0" w:color="auto"/>
        <w:left w:val="none" w:sz="0" w:space="0" w:color="auto"/>
        <w:bottom w:val="none" w:sz="0" w:space="0" w:color="auto"/>
        <w:right w:val="none" w:sz="0" w:space="0" w:color="auto"/>
      </w:divBdr>
      <w:divsChild>
        <w:div w:id="651644227">
          <w:marLeft w:val="0"/>
          <w:marRight w:val="0"/>
          <w:marTop w:val="0"/>
          <w:marBottom w:val="0"/>
          <w:divBdr>
            <w:top w:val="none" w:sz="0" w:space="0" w:color="auto"/>
            <w:left w:val="none" w:sz="0" w:space="0" w:color="auto"/>
            <w:bottom w:val="none" w:sz="0" w:space="0" w:color="auto"/>
            <w:right w:val="none" w:sz="0" w:space="0" w:color="auto"/>
          </w:divBdr>
          <w:divsChild>
            <w:div w:id="416678740">
              <w:marLeft w:val="0"/>
              <w:marRight w:val="0"/>
              <w:marTop w:val="0"/>
              <w:marBottom w:val="0"/>
              <w:divBdr>
                <w:top w:val="none" w:sz="0" w:space="0" w:color="auto"/>
                <w:left w:val="none" w:sz="0" w:space="0" w:color="auto"/>
                <w:bottom w:val="none" w:sz="0" w:space="0" w:color="auto"/>
                <w:right w:val="none" w:sz="0" w:space="0" w:color="auto"/>
              </w:divBdr>
              <w:divsChild>
                <w:div w:id="2142845863">
                  <w:marLeft w:val="0"/>
                  <w:marRight w:val="0"/>
                  <w:marTop w:val="0"/>
                  <w:marBottom w:val="0"/>
                  <w:divBdr>
                    <w:top w:val="none" w:sz="0" w:space="0" w:color="auto"/>
                    <w:left w:val="none" w:sz="0" w:space="0" w:color="auto"/>
                    <w:bottom w:val="none" w:sz="0" w:space="0" w:color="auto"/>
                    <w:right w:val="none" w:sz="0" w:space="0" w:color="auto"/>
                  </w:divBdr>
                  <w:divsChild>
                    <w:div w:id="1118531385">
                      <w:marLeft w:val="0"/>
                      <w:marRight w:val="0"/>
                      <w:marTop w:val="0"/>
                      <w:marBottom w:val="0"/>
                      <w:divBdr>
                        <w:top w:val="none" w:sz="0" w:space="0" w:color="auto"/>
                        <w:left w:val="none" w:sz="0" w:space="0" w:color="auto"/>
                        <w:bottom w:val="none" w:sz="0" w:space="0" w:color="auto"/>
                        <w:right w:val="none" w:sz="0" w:space="0" w:color="auto"/>
                      </w:divBdr>
                      <w:divsChild>
                        <w:div w:id="1865514451">
                          <w:marLeft w:val="0"/>
                          <w:marRight w:val="0"/>
                          <w:marTop w:val="0"/>
                          <w:marBottom w:val="751"/>
                          <w:divBdr>
                            <w:top w:val="none" w:sz="0" w:space="0" w:color="auto"/>
                            <w:left w:val="none" w:sz="0" w:space="0" w:color="auto"/>
                            <w:bottom w:val="none" w:sz="0" w:space="0" w:color="auto"/>
                            <w:right w:val="none" w:sz="0" w:space="0" w:color="auto"/>
                          </w:divBdr>
                          <w:divsChild>
                            <w:div w:id="2004432309">
                              <w:marLeft w:val="0"/>
                              <w:marRight w:val="0"/>
                              <w:marTop w:val="0"/>
                              <w:marBottom w:val="0"/>
                              <w:divBdr>
                                <w:top w:val="none" w:sz="0" w:space="0" w:color="auto"/>
                                <w:left w:val="none" w:sz="0" w:space="0" w:color="auto"/>
                                <w:bottom w:val="none" w:sz="0" w:space="0" w:color="auto"/>
                                <w:right w:val="none" w:sz="0" w:space="0" w:color="auto"/>
                              </w:divBdr>
                              <w:divsChild>
                                <w:div w:id="1848249461">
                                  <w:marLeft w:val="0"/>
                                  <w:marRight w:val="0"/>
                                  <w:marTop w:val="0"/>
                                  <w:marBottom w:val="0"/>
                                  <w:divBdr>
                                    <w:top w:val="none" w:sz="0" w:space="0" w:color="auto"/>
                                    <w:left w:val="none" w:sz="0" w:space="0" w:color="auto"/>
                                    <w:bottom w:val="none" w:sz="0" w:space="0" w:color="auto"/>
                                    <w:right w:val="none" w:sz="0" w:space="0" w:color="auto"/>
                                  </w:divBdr>
                                  <w:divsChild>
                                    <w:div w:id="902180707">
                                      <w:marLeft w:val="0"/>
                                      <w:marRight w:val="0"/>
                                      <w:marTop w:val="0"/>
                                      <w:marBottom w:val="0"/>
                                      <w:divBdr>
                                        <w:top w:val="none" w:sz="0" w:space="0" w:color="auto"/>
                                        <w:left w:val="none" w:sz="0" w:space="0" w:color="auto"/>
                                        <w:bottom w:val="none" w:sz="0" w:space="0" w:color="auto"/>
                                        <w:right w:val="none" w:sz="0" w:space="0" w:color="auto"/>
                                      </w:divBdr>
                                      <w:divsChild>
                                        <w:div w:id="1562401553">
                                          <w:marLeft w:val="0"/>
                                          <w:marRight w:val="0"/>
                                          <w:marTop w:val="0"/>
                                          <w:marBottom w:val="0"/>
                                          <w:divBdr>
                                            <w:top w:val="none" w:sz="0" w:space="0" w:color="auto"/>
                                            <w:left w:val="none" w:sz="0" w:space="0" w:color="auto"/>
                                            <w:bottom w:val="none" w:sz="0" w:space="0" w:color="auto"/>
                                            <w:right w:val="none" w:sz="0" w:space="0" w:color="auto"/>
                                          </w:divBdr>
                                          <w:divsChild>
                                            <w:div w:id="784617970">
                                              <w:marLeft w:val="0"/>
                                              <w:marRight w:val="0"/>
                                              <w:marTop w:val="0"/>
                                              <w:marBottom w:val="0"/>
                                              <w:divBdr>
                                                <w:top w:val="single" w:sz="4" w:space="0" w:color="EEEEEE"/>
                                                <w:left w:val="single" w:sz="2" w:space="0" w:color="EEEEEE"/>
                                                <w:bottom w:val="single" w:sz="4" w:space="0" w:color="EEEEEE"/>
                                                <w:right w:val="single" w:sz="4" w:space="0" w:color="EEEEEE"/>
                                              </w:divBdr>
                                              <w:divsChild>
                                                <w:div w:id="64542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2202494">
      <w:bodyDiv w:val="1"/>
      <w:marLeft w:val="0"/>
      <w:marRight w:val="0"/>
      <w:marTop w:val="0"/>
      <w:marBottom w:val="0"/>
      <w:divBdr>
        <w:top w:val="none" w:sz="0" w:space="0" w:color="auto"/>
        <w:left w:val="none" w:sz="0" w:space="0" w:color="auto"/>
        <w:bottom w:val="none" w:sz="0" w:space="0" w:color="auto"/>
        <w:right w:val="none" w:sz="0" w:space="0" w:color="auto"/>
      </w:divBdr>
    </w:div>
    <w:div w:id="598219796">
      <w:bodyDiv w:val="1"/>
      <w:marLeft w:val="0"/>
      <w:marRight w:val="0"/>
      <w:marTop w:val="0"/>
      <w:marBottom w:val="0"/>
      <w:divBdr>
        <w:top w:val="none" w:sz="0" w:space="0" w:color="auto"/>
        <w:left w:val="none" w:sz="0" w:space="0" w:color="auto"/>
        <w:bottom w:val="none" w:sz="0" w:space="0" w:color="auto"/>
        <w:right w:val="none" w:sz="0" w:space="0" w:color="auto"/>
      </w:divBdr>
    </w:div>
    <w:div w:id="623393791">
      <w:bodyDiv w:val="1"/>
      <w:marLeft w:val="0"/>
      <w:marRight w:val="0"/>
      <w:marTop w:val="0"/>
      <w:marBottom w:val="0"/>
      <w:divBdr>
        <w:top w:val="none" w:sz="0" w:space="0" w:color="auto"/>
        <w:left w:val="none" w:sz="0" w:space="0" w:color="auto"/>
        <w:bottom w:val="none" w:sz="0" w:space="0" w:color="auto"/>
        <w:right w:val="none" w:sz="0" w:space="0" w:color="auto"/>
      </w:divBdr>
      <w:divsChild>
        <w:div w:id="203950969">
          <w:marLeft w:val="0"/>
          <w:marRight w:val="0"/>
          <w:marTop w:val="0"/>
          <w:marBottom w:val="0"/>
          <w:divBdr>
            <w:top w:val="none" w:sz="0" w:space="0" w:color="auto"/>
            <w:left w:val="none" w:sz="0" w:space="0" w:color="auto"/>
            <w:bottom w:val="none" w:sz="0" w:space="0" w:color="auto"/>
            <w:right w:val="none" w:sz="0" w:space="0" w:color="auto"/>
          </w:divBdr>
          <w:divsChild>
            <w:div w:id="2054773219">
              <w:marLeft w:val="0"/>
              <w:marRight w:val="0"/>
              <w:marTop w:val="0"/>
              <w:marBottom w:val="0"/>
              <w:divBdr>
                <w:top w:val="none" w:sz="0" w:space="0" w:color="auto"/>
                <w:left w:val="none" w:sz="0" w:space="0" w:color="auto"/>
                <w:bottom w:val="none" w:sz="0" w:space="0" w:color="auto"/>
                <w:right w:val="none" w:sz="0" w:space="0" w:color="auto"/>
              </w:divBdr>
              <w:divsChild>
                <w:div w:id="2102531243">
                  <w:marLeft w:val="0"/>
                  <w:marRight w:val="0"/>
                  <w:marTop w:val="0"/>
                  <w:marBottom w:val="0"/>
                  <w:divBdr>
                    <w:top w:val="none" w:sz="0" w:space="0" w:color="auto"/>
                    <w:left w:val="none" w:sz="0" w:space="0" w:color="auto"/>
                    <w:bottom w:val="none" w:sz="0" w:space="0" w:color="auto"/>
                    <w:right w:val="none" w:sz="0" w:space="0" w:color="auto"/>
                  </w:divBdr>
                  <w:divsChild>
                    <w:div w:id="1454445215">
                      <w:marLeft w:val="0"/>
                      <w:marRight w:val="0"/>
                      <w:marTop w:val="0"/>
                      <w:marBottom w:val="0"/>
                      <w:divBdr>
                        <w:top w:val="none" w:sz="0" w:space="0" w:color="auto"/>
                        <w:left w:val="none" w:sz="0" w:space="0" w:color="auto"/>
                        <w:bottom w:val="none" w:sz="0" w:space="0" w:color="auto"/>
                        <w:right w:val="none" w:sz="0" w:space="0" w:color="auto"/>
                      </w:divBdr>
                      <w:divsChild>
                        <w:div w:id="1805541111">
                          <w:marLeft w:val="0"/>
                          <w:marRight w:val="0"/>
                          <w:marTop w:val="0"/>
                          <w:marBottom w:val="691"/>
                          <w:divBdr>
                            <w:top w:val="none" w:sz="0" w:space="0" w:color="auto"/>
                            <w:left w:val="none" w:sz="0" w:space="0" w:color="auto"/>
                            <w:bottom w:val="none" w:sz="0" w:space="0" w:color="auto"/>
                            <w:right w:val="none" w:sz="0" w:space="0" w:color="auto"/>
                          </w:divBdr>
                          <w:divsChild>
                            <w:div w:id="1178426657">
                              <w:marLeft w:val="0"/>
                              <w:marRight w:val="0"/>
                              <w:marTop w:val="0"/>
                              <w:marBottom w:val="0"/>
                              <w:divBdr>
                                <w:top w:val="none" w:sz="0" w:space="0" w:color="auto"/>
                                <w:left w:val="none" w:sz="0" w:space="0" w:color="auto"/>
                                <w:bottom w:val="none" w:sz="0" w:space="0" w:color="auto"/>
                                <w:right w:val="none" w:sz="0" w:space="0" w:color="auto"/>
                              </w:divBdr>
                              <w:divsChild>
                                <w:div w:id="944308746">
                                  <w:marLeft w:val="0"/>
                                  <w:marRight w:val="0"/>
                                  <w:marTop w:val="0"/>
                                  <w:marBottom w:val="0"/>
                                  <w:divBdr>
                                    <w:top w:val="none" w:sz="0" w:space="0" w:color="auto"/>
                                    <w:left w:val="none" w:sz="0" w:space="0" w:color="auto"/>
                                    <w:bottom w:val="none" w:sz="0" w:space="0" w:color="auto"/>
                                    <w:right w:val="none" w:sz="0" w:space="0" w:color="auto"/>
                                  </w:divBdr>
                                  <w:divsChild>
                                    <w:div w:id="757949001">
                                      <w:marLeft w:val="0"/>
                                      <w:marRight w:val="0"/>
                                      <w:marTop w:val="0"/>
                                      <w:marBottom w:val="0"/>
                                      <w:divBdr>
                                        <w:top w:val="none" w:sz="0" w:space="0" w:color="auto"/>
                                        <w:left w:val="none" w:sz="0" w:space="0" w:color="auto"/>
                                        <w:bottom w:val="none" w:sz="0" w:space="0" w:color="auto"/>
                                        <w:right w:val="none" w:sz="0" w:space="0" w:color="auto"/>
                                      </w:divBdr>
                                      <w:divsChild>
                                        <w:div w:id="647592853">
                                          <w:marLeft w:val="0"/>
                                          <w:marRight w:val="0"/>
                                          <w:marTop w:val="0"/>
                                          <w:marBottom w:val="0"/>
                                          <w:divBdr>
                                            <w:top w:val="none" w:sz="0" w:space="0" w:color="auto"/>
                                            <w:left w:val="none" w:sz="0" w:space="0" w:color="auto"/>
                                            <w:bottom w:val="none" w:sz="0" w:space="0" w:color="auto"/>
                                            <w:right w:val="none" w:sz="0" w:space="0" w:color="auto"/>
                                          </w:divBdr>
                                          <w:divsChild>
                                            <w:div w:id="797450894">
                                              <w:marLeft w:val="0"/>
                                              <w:marRight w:val="0"/>
                                              <w:marTop w:val="0"/>
                                              <w:marBottom w:val="0"/>
                                              <w:divBdr>
                                                <w:top w:val="single" w:sz="4" w:space="0" w:color="EEEEEE"/>
                                                <w:left w:val="single" w:sz="2" w:space="0" w:color="EEEEEE"/>
                                                <w:bottom w:val="single" w:sz="4" w:space="0" w:color="EEEEEE"/>
                                                <w:right w:val="single" w:sz="4" w:space="0" w:color="EEEEEE"/>
                                              </w:divBdr>
                                              <w:divsChild>
                                                <w:div w:id="8238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2611993">
      <w:bodyDiv w:val="1"/>
      <w:marLeft w:val="0"/>
      <w:marRight w:val="0"/>
      <w:marTop w:val="0"/>
      <w:marBottom w:val="0"/>
      <w:divBdr>
        <w:top w:val="none" w:sz="0" w:space="0" w:color="auto"/>
        <w:left w:val="none" w:sz="0" w:space="0" w:color="auto"/>
        <w:bottom w:val="none" w:sz="0" w:space="0" w:color="auto"/>
        <w:right w:val="none" w:sz="0" w:space="0" w:color="auto"/>
      </w:divBdr>
    </w:div>
    <w:div w:id="660355462">
      <w:bodyDiv w:val="1"/>
      <w:marLeft w:val="0"/>
      <w:marRight w:val="0"/>
      <w:marTop w:val="0"/>
      <w:marBottom w:val="0"/>
      <w:divBdr>
        <w:top w:val="none" w:sz="0" w:space="0" w:color="auto"/>
        <w:left w:val="none" w:sz="0" w:space="0" w:color="auto"/>
        <w:bottom w:val="none" w:sz="0" w:space="0" w:color="auto"/>
        <w:right w:val="none" w:sz="0" w:space="0" w:color="auto"/>
      </w:divBdr>
      <w:divsChild>
        <w:div w:id="160237416">
          <w:marLeft w:val="0"/>
          <w:marRight w:val="0"/>
          <w:marTop w:val="0"/>
          <w:marBottom w:val="0"/>
          <w:divBdr>
            <w:top w:val="none" w:sz="0" w:space="0" w:color="auto"/>
            <w:left w:val="none" w:sz="0" w:space="0" w:color="auto"/>
            <w:bottom w:val="none" w:sz="0" w:space="0" w:color="auto"/>
            <w:right w:val="none" w:sz="0" w:space="0" w:color="auto"/>
          </w:divBdr>
          <w:divsChild>
            <w:div w:id="1427965853">
              <w:marLeft w:val="0"/>
              <w:marRight w:val="0"/>
              <w:marTop w:val="0"/>
              <w:marBottom w:val="0"/>
              <w:divBdr>
                <w:top w:val="none" w:sz="0" w:space="0" w:color="auto"/>
                <w:left w:val="none" w:sz="0" w:space="0" w:color="auto"/>
                <w:bottom w:val="none" w:sz="0" w:space="0" w:color="auto"/>
                <w:right w:val="none" w:sz="0" w:space="0" w:color="auto"/>
              </w:divBdr>
              <w:divsChild>
                <w:div w:id="705565553">
                  <w:marLeft w:val="0"/>
                  <w:marRight w:val="0"/>
                  <w:marTop w:val="0"/>
                  <w:marBottom w:val="0"/>
                  <w:divBdr>
                    <w:top w:val="none" w:sz="0" w:space="0" w:color="auto"/>
                    <w:left w:val="none" w:sz="0" w:space="0" w:color="auto"/>
                    <w:bottom w:val="none" w:sz="0" w:space="0" w:color="auto"/>
                    <w:right w:val="none" w:sz="0" w:space="0" w:color="auto"/>
                  </w:divBdr>
                  <w:divsChild>
                    <w:div w:id="1141919377">
                      <w:marLeft w:val="0"/>
                      <w:marRight w:val="0"/>
                      <w:marTop w:val="0"/>
                      <w:marBottom w:val="0"/>
                      <w:divBdr>
                        <w:top w:val="none" w:sz="0" w:space="0" w:color="auto"/>
                        <w:left w:val="none" w:sz="0" w:space="0" w:color="auto"/>
                        <w:bottom w:val="none" w:sz="0" w:space="0" w:color="auto"/>
                        <w:right w:val="none" w:sz="0" w:space="0" w:color="auto"/>
                      </w:divBdr>
                      <w:divsChild>
                        <w:div w:id="1991400559">
                          <w:marLeft w:val="0"/>
                          <w:marRight w:val="0"/>
                          <w:marTop w:val="0"/>
                          <w:marBottom w:val="751"/>
                          <w:divBdr>
                            <w:top w:val="none" w:sz="0" w:space="0" w:color="auto"/>
                            <w:left w:val="none" w:sz="0" w:space="0" w:color="auto"/>
                            <w:bottom w:val="none" w:sz="0" w:space="0" w:color="auto"/>
                            <w:right w:val="none" w:sz="0" w:space="0" w:color="auto"/>
                          </w:divBdr>
                          <w:divsChild>
                            <w:div w:id="1403873073">
                              <w:marLeft w:val="0"/>
                              <w:marRight w:val="0"/>
                              <w:marTop w:val="0"/>
                              <w:marBottom w:val="0"/>
                              <w:divBdr>
                                <w:top w:val="none" w:sz="0" w:space="0" w:color="auto"/>
                                <w:left w:val="none" w:sz="0" w:space="0" w:color="auto"/>
                                <w:bottom w:val="none" w:sz="0" w:space="0" w:color="auto"/>
                                <w:right w:val="none" w:sz="0" w:space="0" w:color="auto"/>
                              </w:divBdr>
                              <w:divsChild>
                                <w:div w:id="197813507">
                                  <w:marLeft w:val="0"/>
                                  <w:marRight w:val="0"/>
                                  <w:marTop w:val="0"/>
                                  <w:marBottom w:val="0"/>
                                  <w:divBdr>
                                    <w:top w:val="none" w:sz="0" w:space="0" w:color="auto"/>
                                    <w:left w:val="none" w:sz="0" w:space="0" w:color="auto"/>
                                    <w:bottom w:val="none" w:sz="0" w:space="0" w:color="auto"/>
                                    <w:right w:val="none" w:sz="0" w:space="0" w:color="auto"/>
                                  </w:divBdr>
                                  <w:divsChild>
                                    <w:div w:id="429353925">
                                      <w:marLeft w:val="0"/>
                                      <w:marRight w:val="0"/>
                                      <w:marTop w:val="0"/>
                                      <w:marBottom w:val="0"/>
                                      <w:divBdr>
                                        <w:top w:val="none" w:sz="0" w:space="0" w:color="auto"/>
                                        <w:left w:val="none" w:sz="0" w:space="0" w:color="auto"/>
                                        <w:bottom w:val="none" w:sz="0" w:space="0" w:color="auto"/>
                                        <w:right w:val="none" w:sz="0" w:space="0" w:color="auto"/>
                                      </w:divBdr>
                                      <w:divsChild>
                                        <w:div w:id="1335566976">
                                          <w:marLeft w:val="0"/>
                                          <w:marRight w:val="0"/>
                                          <w:marTop w:val="0"/>
                                          <w:marBottom w:val="0"/>
                                          <w:divBdr>
                                            <w:top w:val="none" w:sz="0" w:space="0" w:color="auto"/>
                                            <w:left w:val="none" w:sz="0" w:space="0" w:color="auto"/>
                                            <w:bottom w:val="none" w:sz="0" w:space="0" w:color="auto"/>
                                            <w:right w:val="none" w:sz="0" w:space="0" w:color="auto"/>
                                          </w:divBdr>
                                          <w:divsChild>
                                            <w:div w:id="447433929">
                                              <w:marLeft w:val="0"/>
                                              <w:marRight w:val="0"/>
                                              <w:marTop w:val="0"/>
                                              <w:marBottom w:val="0"/>
                                              <w:divBdr>
                                                <w:top w:val="single" w:sz="4" w:space="0" w:color="EEEEEE"/>
                                                <w:left w:val="single" w:sz="2" w:space="0" w:color="EEEEEE"/>
                                                <w:bottom w:val="single" w:sz="4" w:space="0" w:color="EEEEEE"/>
                                                <w:right w:val="single" w:sz="4" w:space="0" w:color="EEEEEE"/>
                                              </w:divBdr>
                                              <w:divsChild>
                                                <w:div w:id="1940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6366714">
      <w:bodyDiv w:val="1"/>
      <w:marLeft w:val="0"/>
      <w:marRight w:val="0"/>
      <w:marTop w:val="0"/>
      <w:marBottom w:val="0"/>
      <w:divBdr>
        <w:top w:val="none" w:sz="0" w:space="0" w:color="auto"/>
        <w:left w:val="none" w:sz="0" w:space="0" w:color="auto"/>
        <w:bottom w:val="none" w:sz="0" w:space="0" w:color="auto"/>
        <w:right w:val="none" w:sz="0" w:space="0" w:color="auto"/>
      </w:divBdr>
      <w:divsChild>
        <w:div w:id="193662651">
          <w:marLeft w:val="0"/>
          <w:marRight w:val="0"/>
          <w:marTop w:val="0"/>
          <w:marBottom w:val="0"/>
          <w:divBdr>
            <w:top w:val="none" w:sz="0" w:space="0" w:color="auto"/>
            <w:left w:val="none" w:sz="0" w:space="0" w:color="auto"/>
            <w:bottom w:val="none" w:sz="0" w:space="0" w:color="auto"/>
            <w:right w:val="none" w:sz="0" w:space="0" w:color="auto"/>
          </w:divBdr>
          <w:divsChild>
            <w:div w:id="732048340">
              <w:marLeft w:val="0"/>
              <w:marRight w:val="0"/>
              <w:marTop w:val="0"/>
              <w:marBottom w:val="0"/>
              <w:divBdr>
                <w:top w:val="none" w:sz="0" w:space="0" w:color="auto"/>
                <w:left w:val="none" w:sz="0" w:space="0" w:color="auto"/>
                <w:bottom w:val="none" w:sz="0" w:space="0" w:color="auto"/>
                <w:right w:val="none" w:sz="0" w:space="0" w:color="auto"/>
              </w:divBdr>
              <w:divsChild>
                <w:div w:id="1174808753">
                  <w:marLeft w:val="0"/>
                  <w:marRight w:val="0"/>
                  <w:marTop w:val="0"/>
                  <w:marBottom w:val="0"/>
                  <w:divBdr>
                    <w:top w:val="none" w:sz="0" w:space="0" w:color="auto"/>
                    <w:left w:val="none" w:sz="0" w:space="0" w:color="auto"/>
                    <w:bottom w:val="none" w:sz="0" w:space="0" w:color="auto"/>
                    <w:right w:val="none" w:sz="0" w:space="0" w:color="auto"/>
                  </w:divBdr>
                  <w:divsChild>
                    <w:div w:id="356469600">
                      <w:marLeft w:val="0"/>
                      <w:marRight w:val="0"/>
                      <w:marTop w:val="0"/>
                      <w:marBottom w:val="0"/>
                      <w:divBdr>
                        <w:top w:val="none" w:sz="0" w:space="0" w:color="auto"/>
                        <w:left w:val="none" w:sz="0" w:space="0" w:color="auto"/>
                        <w:bottom w:val="none" w:sz="0" w:space="0" w:color="auto"/>
                        <w:right w:val="none" w:sz="0" w:space="0" w:color="auto"/>
                      </w:divBdr>
                      <w:divsChild>
                        <w:div w:id="801002813">
                          <w:marLeft w:val="0"/>
                          <w:marRight w:val="0"/>
                          <w:marTop w:val="0"/>
                          <w:marBottom w:val="751"/>
                          <w:divBdr>
                            <w:top w:val="none" w:sz="0" w:space="0" w:color="auto"/>
                            <w:left w:val="none" w:sz="0" w:space="0" w:color="auto"/>
                            <w:bottom w:val="none" w:sz="0" w:space="0" w:color="auto"/>
                            <w:right w:val="none" w:sz="0" w:space="0" w:color="auto"/>
                          </w:divBdr>
                          <w:divsChild>
                            <w:div w:id="1948610939">
                              <w:marLeft w:val="0"/>
                              <w:marRight w:val="0"/>
                              <w:marTop w:val="0"/>
                              <w:marBottom w:val="0"/>
                              <w:divBdr>
                                <w:top w:val="none" w:sz="0" w:space="0" w:color="auto"/>
                                <w:left w:val="none" w:sz="0" w:space="0" w:color="auto"/>
                                <w:bottom w:val="none" w:sz="0" w:space="0" w:color="auto"/>
                                <w:right w:val="none" w:sz="0" w:space="0" w:color="auto"/>
                              </w:divBdr>
                              <w:divsChild>
                                <w:div w:id="1721513060">
                                  <w:marLeft w:val="0"/>
                                  <w:marRight w:val="0"/>
                                  <w:marTop w:val="0"/>
                                  <w:marBottom w:val="0"/>
                                  <w:divBdr>
                                    <w:top w:val="none" w:sz="0" w:space="0" w:color="auto"/>
                                    <w:left w:val="none" w:sz="0" w:space="0" w:color="auto"/>
                                    <w:bottom w:val="none" w:sz="0" w:space="0" w:color="auto"/>
                                    <w:right w:val="none" w:sz="0" w:space="0" w:color="auto"/>
                                  </w:divBdr>
                                  <w:divsChild>
                                    <w:div w:id="2118452180">
                                      <w:marLeft w:val="0"/>
                                      <w:marRight w:val="0"/>
                                      <w:marTop w:val="0"/>
                                      <w:marBottom w:val="0"/>
                                      <w:divBdr>
                                        <w:top w:val="none" w:sz="0" w:space="0" w:color="auto"/>
                                        <w:left w:val="none" w:sz="0" w:space="0" w:color="auto"/>
                                        <w:bottom w:val="none" w:sz="0" w:space="0" w:color="auto"/>
                                        <w:right w:val="none" w:sz="0" w:space="0" w:color="auto"/>
                                      </w:divBdr>
                                      <w:divsChild>
                                        <w:div w:id="726297961">
                                          <w:marLeft w:val="0"/>
                                          <w:marRight w:val="0"/>
                                          <w:marTop w:val="0"/>
                                          <w:marBottom w:val="0"/>
                                          <w:divBdr>
                                            <w:top w:val="none" w:sz="0" w:space="0" w:color="auto"/>
                                            <w:left w:val="none" w:sz="0" w:space="0" w:color="auto"/>
                                            <w:bottom w:val="none" w:sz="0" w:space="0" w:color="auto"/>
                                            <w:right w:val="none" w:sz="0" w:space="0" w:color="auto"/>
                                          </w:divBdr>
                                          <w:divsChild>
                                            <w:div w:id="1525828771">
                                              <w:marLeft w:val="0"/>
                                              <w:marRight w:val="0"/>
                                              <w:marTop w:val="0"/>
                                              <w:marBottom w:val="0"/>
                                              <w:divBdr>
                                                <w:top w:val="single" w:sz="4" w:space="0" w:color="EEEEEE"/>
                                                <w:left w:val="single" w:sz="2" w:space="0" w:color="EEEEEE"/>
                                                <w:bottom w:val="single" w:sz="4" w:space="0" w:color="EEEEEE"/>
                                                <w:right w:val="single" w:sz="4" w:space="0" w:color="EEEEEE"/>
                                              </w:divBdr>
                                              <w:divsChild>
                                                <w:div w:id="64161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8793823">
      <w:bodyDiv w:val="1"/>
      <w:marLeft w:val="0"/>
      <w:marRight w:val="0"/>
      <w:marTop w:val="0"/>
      <w:marBottom w:val="0"/>
      <w:divBdr>
        <w:top w:val="none" w:sz="0" w:space="0" w:color="auto"/>
        <w:left w:val="none" w:sz="0" w:space="0" w:color="auto"/>
        <w:bottom w:val="none" w:sz="0" w:space="0" w:color="auto"/>
        <w:right w:val="none" w:sz="0" w:space="0" w:color="auto"/>
      </w:divBdr>
      <w:divsChild>
        <w:div w:id="126242293">
          <w:marLeft w:val="1166"/>
          <w:marRight w:val="0"/>
          <w:marTop w:val="67"/>
          <w:marBottom w:val="0"/>
          <w:divBdr>
            <w:top w:val="none" w:sz="0" w:space="0" w:color="auto"/>
            <w:left w:val="none" w:sz="0" w:space="0" w:color="auto"/>
            <w:bottom w:val="none" w:sz="0" w:space="0" w:color="auto"/>
            <w:right w:val="none" w:sz="0" w:space="0" w:color="auto"/>
          </w:divBdr>
        </w:div>
        <w:div w:id="200480894">
          <w:marLeft w:val="1166"/>
          <w:marRight w:val="0"/>
          <w:marTop w:val="67"/>
          <w:marBottom w:val="0"/>
          <w:divBdr>
            <w:top w:val="none" w:sz="0" w:space="0" w:color="auto"/>
            <w:left w:val="none" w:sz="0" w:space="0" w:color="auto"/>
            <w:bottom w:val="none" w:sz="0" w:space="0" w:color="auto"/>
            <w:right w:val="none" w:sz="0" w:space="0" w:color="auto"/>
          </w:divBdr>
        </w:div>
        <w:div w:id="1432703886">
          <w:marLeft w:val="288"/>
          <w:marRight w:val="0"/>
          <w:marTop w:val="77"/>
          <w:marBottom w:val="0"/>
          <w:divBdr>
            <w:top w:val="none" w:sz="0" w:space="0" w:color="auto"/>
            <w:left w:val="none" w:sz="0" w:space="0" w:color="auto"/>
            <w:bottom w:val="none" w:sz="0" w:space="0" w:color="auto"/>
            <w:right w:val="none" w:sz="0" w:space="0" w:color="auto"/>
          </w:divBdr>
        </w:div>
        <w:div w:id="1507750393">
          <w:marLeft w:val="1166"/>
          <w:marRight w:val="0"/>
          <w:marTop w:val="67"/>
          <w:marBottom w:val="0"/>
          <w:divBdr>
            <w:top w:val="none" w:sz="0" w:space="0" w:color="auto"/>
            <w:left w:val="none" w:sz="0" w:space="0" w:color="auto"/>
            <w:bottom w:val="none" w:sz="0" w:space="0" w:color="auto"/>
            <w:right w:val="none" w:sz="0" w:space="0" w:color="auto"/>
          </w:divBdr>
        </w:div>
      </w:divsChild>
    </w:div>
    <w:div w:id="849150042">
      <w:bodyDiv w:val="1"/>
      <w:marLeft w:val="0"/>
      <w:marRight w:val="0"/>
      <w:marTop w:val="0"/>
      <w:marBottom w:val="0"/>
      <w:divBdr>
        <w:top w:val="none" w:sz="0" w:space="0" w:color="auto"/>
        <w:left w:val="none" w:sz="0" w:space="0" w:color="auto"/>
        <w:bottom w:val="none" w:sz="0" w:space="0" w:color="auto"/>
        <w:right w:val="none" w:sz="0" w:space="0" w:color="auto"/>
      </w:divBdr>
      <w:divsChild>
        <w:div w:id="88279259">
          <w:marLeft w:val="0"/>
          <w:marRight w:val="0"/>
          <w:marTop w:val="0"/>
          <w:marBottom w:val="0"/>
          <w:divBdr>
            <w:top w:val="none" w:sz="0" w:space="0" w:color="auto"/>
            <w:left w:val="none" w:sz="0" w:space="0" w:color="auto"/>
            <w:bottom w:val="none" w:sz="0" w:space="0" w:color="auto"/>
            <w:right w:val="none" w:sz="0" w:space="0" w:color="auto"/>
          </w:divBdr>
          <w:divsChild>
            <w:div w:id="1745910933">
              <w:marLeft w:val="0"/>
              <w:marRight w:val="0"/>
              <w:marTop w:val="0"/>
              <w:marBottom w:val="0"/>
              <w:divBdr>
                <w:top w:val="none" w:sz="0" w:space="0" w:color="auto"/>
                <w:left w:val="none" w:sz="0" w:space="0" w:color="auto"/>
                <w:bottom w:val="none" w:sz="0" w:space="0" w:color="auto"/>
                <w:right w:val="none" w:sz="0" w:space="0" w:color="auto"/>
              </w:divBdr>
              <w:divsChild>
                <w:div w:id="1142651465">
                  <w:marLeft w:val="0"/>
                  <w:marRight w:val="0"/>
                  <w:marTop w:val="0"/>
                  <w:marBottom w:val="0"/>
                  <w:divBdr>
                    <w:top w:val="none" w:sz="0" w:space="0" w:color="auto"/>
                    <w:left w:val="none" w:sz="0" w:space="0" w:color="auto"/>
                    <w:bottom w:val="none" w:sz="0" w:space="0" w:color="auto"/>
                    <w:right w:val="none" w:sz="0" w:space="0" w:color="auto"/>
                  </w:divBdr>
                  <w:divsChild>
                    <w:div w:id="125436673">
                      <w:marLeft w:val="0"/>
                      <w:marRight w:val="0"/>
                      <w:marTop w:val="0"/>
                      <w:marBottom w:val="0"/>
                      <w:divBdr>
                        <w:top w:val="none" w:sz="0" w:space="0" w:color="auto"/>
                        <w:left w:val="none" w:sz="0" w:space="0" w:color="auto"/>
                        <w:bottom w:val="none" w:sz="0" w:space="0" w:color="auto"/>
                        <w:right w:val="none" w:sz="0" w:space="0" w:color="auto"/>
                      </w:divBdr>
                      <w:divsChild>
                        <w:div w:id="1695232454">
                          <w:marLeft w:val="0"/>
                          <w:marRight w:val="0"/>
                          <w:marTop w:val="0"/>
                          <w:marBottom w:val="751"/>
                          <w:divBdr>
                            <w:top w:val="none" w:sz="0" w:space="0" w:color="auto"/>
                            <w:left w:val="none" w:sz="0" w:space="0" w:color="auto"/>
                            <w:bottom w:val="none" w:sz="0" w:space="0" w:color="auto"/>
                            <w:right w:val="none" w:sz="0" w:space="0" w:color="auto"/>
                          </w:divBdr>
                          <w:divsChild>
                            <w:div w:id="1782799936">
                              <w:marLeft w:val="0"/>
                              <w:marRight w:val="0"/>
                              <w:marTop w:val="0"/>
                              <w:marBottom w:val="0"/>
                              <w:divBdr>
                                <w:top w:val="none" w:sz="0" w:space="0" w:color="auto"/>
                                <w:left w:val="none" w:sz="0" w:space="0" w:color="auto"/>
                                <w:bottom w:val="none" w:sz="0" w:space="0" w:color="auto"/>
                                <w:right w:val="none" w:sz="0" w:space="0" w:color="auto"/>
                              </w:divBdr>
                              <w:divsChild>
                                <w:div w:id="861629841">
                                  <w:marLeft w:val="0"/>
                                  <w:marRight w:val="0"/>
                                  <w:marTop w:val="0"/>
                                  <w:marBottom w:val="0"/>
                                  <w:divBdr>
                                    <w:top w:val="none" w:sz="0" w:space="0" w:color="auto"/>
                                    <w:left w:val="none" w:sz="0" w:space="0" w:color="auto"/>
                                    <w:bottom w:val="none" w:sz="0" w:space="0" w:color="auto"/>
                                    <w:right w:val="none" w:sz="0" w:space="0" w:color="auto"/>
                                  </w:divBdr>
                                  <w:divsChild>
                                    <w:div w:id="443353153">
                                      <w:marLeft w:val="0"/>
                                      <w:marRight w:val="0"/>
                                      <w:marTop w:val="0"/>
                                      <w:marBottom w:val="0"/>
                                      <w:divBdr>
                                        <w:top w:val="none" w:sz="0" w:space="0" w:color="auto"/>
                                        <w:left w:val="none" w:sz="0" w:space="0" w:color="auto"/>
                                        <w:bottom w:val="none" w:sz="0" w:space="0" w:color="auto"/>
                                        <w:right w:val="none" w:sz="0" w:space="0" w:color="auto"/>
                                      </w:divBdr>
                                      <w:divsChild>
                                        <w:div w:id="363404681">
                                          <w:marLeft w:val="0"/>
                                          <w:marRight w:val="0"/>
                                          <w:marTop w:val="0"/>
                                          <w:marBottom w:val="0"/>
                                          <w:divBdr>
                                            <w:top w:val="none" w:sz="0" w:space="0" w:color="auto"/>
                                            <w:left w:val="none" w:sz="0" w:space="0" w:color="auto"/>
                                            <w:bottom w:val="none" w:sz="0" w:space="0" w:color="auto"/>
                                            <w:right w:val="none" w:sz="0" w:space="0" w:color="auto"/>
                                          </w:divBdr>
                                          <w:divsChild>
                                            <w:div w:id="1696153124">
                                              <w:marLeft w:val="0"/>
                                              <w:marRight w:val="0"/>
                                              <w:marTop w:val="0"/>
                                              <w:marBottom w:val="0"/>
                                              <w:divBdr>
                                                <w:top w:val="single" w:sz="4" w:space="0" w:color="EEEEEE"/>
                                                <w:left w:val="single" w:sz="2" w:space="0" w:color="EEEEEE"/>
                                                <w:bottom w:val="single" w:sz="4" w:space="0" w:color="EEEEEE"/>
                                                <w:right w:val="single" w:sz="4" w:space="0" w:color="EEEEEE"/>
                                              </w:divBdr>
                                              <w:divsChild>
                                                <w:div w:id="143590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0149953">
      <w:bodyDiv w:val="1"/>
      <w:marLeft w:val="0"/>
      <w:marRight w:val="0"/>
      <w:marTop w:val="0"/>
      <w:marBottom w:val="0"/>
      <w:divBdr>
        <w:top w:val="none" w:sz="0" w:space="0" w:color="auto"/>
        <w:left w:val="none" w:sz="0" w:space="0" w:color="auto"/>
        <w:bottom w:val="none" w:sz="0" w:space="0" w:color="auto"/>
        <w:right w:val="none" w:sz="0" w:space="0" w:color="auto"/>
      </w:divBdr>
    </w:div>
    <w:div w:id="990790848">
      <w:bodyDiv w:val="1"/>
      <w:marLeft w:val="0"/>
      <w:marRight w:val="0"/>
      <w:marTop w:val="0"/>
      <w:marBottom w:val="0"/>
      <w:divBdr>
        <w:top w:val="none" w:sz="0" w:space="0" w:color="auto"/>
        <w:left w:val="none" w:sz="0" w:space="0" w:color="auto"/>
        <w:bottom w:val="none" w:sz="0" w:space="0" w:color="auto"/>
        <w:right w:val="none" w:sz="0" w:space="0" w:color="auto"/>
      </w:divBdr>
      <w:divsChild>
        <w:div w:id="1816409350">
          <w:marLeft w:val="0"/>
          <w:marRight w:val="0"/>
          <w:marTop w:val="0"/>
          <w:marBottom w:val="0"/>
          <w:divBdr>
            <w:top w:val="none" w:sz="0" w:space="0" w:color="auto"/>
            <w:left w:val="none" w:sz="0" w:space="0" w:color="auto"/>
            <w:bottom w:val="none" w:sz="0" w:space="0" w:color="auto"/>
            <w:right w:val="none" w:sz="0" w:space="0" w:color="auto"/>
          </w:divBdr>
          <w:divsChild>
            <w:div w:id="821190479">
              <w:marLeft w:val="0"/>
              <w:marRight w:val="0"/>
              <w:marTop w:val="0"/>
              <w:marBottom w:val="0"/>
              <w:divBdr>
                <w:top w:val="none" w:sz="0" w:space="0" w:color="auto"/>
                <w:left w:val="none" w:sz="0" w:space="0" w:color="auto"/>
                <w:bottom w:val="none" w:sz="0" w:space="0" w:color="auto"/>
                <w:right w:val="none" w:sz="0" w:space="0" w:color="auto"/>
              </w:divBdr>
              <w:divsChild>
                <w:div w:id="192964116">
                  <w:marLeft w:val="0"/>
                  <w:marRight w:val="0"/>
                  <w:marTop w:val="0"/>
                  <w:marBottom w:val="0"/>
                  <w:divBdr>
                    <w:top w:val="none" w:sz="0" w:space="0" w:color="auto"/>
                    <w:left w:val="none" w:sz="0" w:space="0" w:color="auto"/>
                    <w:bottom w:val="none" w:sz="0" w:space="0" w:color="auto"/>
                    <w:right w:val="none" w:sz="0" w:space="0" w:color="auto"/>
                  </w:divBdr>
                  <w:divsChild>
                    <w:div w:id="1532917675">
                      <w:marLeft w:val="0"/>
                      <w:marRight w:val="0"/>
                      <w:marTop w:val="0"/>
                      <w:marBottom w:val="0"/>
                      <w:divBdr>
                        <w:top w:val="none" w:sz="0" w:space="0" w:color="auto"/>
                        <w:left w:val="none" w:sz="0" w:space="0" w:color="auto"/>
                        <w:bottom w:val="none" w:sz="0" w:space="0" w:color="auto"/>
                        <w:right w:val="none" w:sz="0" w:space="0" w:color="auto"/>
                      </w:divBdr>
                      <w:divsChild>
                        <w:div w:id="1240285111">
                          <w:marLeft w:val="0"/>
                          <w:marRight w:val="0"/>
                          <w:marTop w:val="0"/>
                          <w:marBottom w:val="0"/>
                          <w:divBdr>
                            <w:top w:val="none" w:sz="0" w:space="0" w:color="auto"/>
                            <w:left w:val="none" w:sz="0" w:space="0" w:color="auto"/>
                            <w:bottom w:val="none" w:sz="0" w:space="0" w:color="auto"/>
                            <w:right w:val="none" w:sz="0" w:space="0" w:color="auto"/>
                          </w:divBdr>
                          <w:divsChild>
                            <w:div w:id="1620526367">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942799">
      <w:bodyDiv w:val="1"/>
      <w:marLeft w:val="0"/>
      <w:marRight w:val="0"/>
      <w:marTop w:val="0"/>
      <w:marBottom w:val="0"/>
      <w:divBdr>
        <w:top w:val="none" w:sz="0" w:space="0" w:color="auto"/>
        <w:left w:val="none" w:sz="0" w:space="0" w:color="auto"/>
        <w:bottom w:val="none" w:sz="0" w:space="0" w:color="auto"/>
        <w:right w:val="none" w:sz="0" w:space="0" w:color="auto"/>
      </w:divBdr>
      <w:divsChild>
        <w:div w:id="2109227294">
          <w:marLeft w:val="0"/>
          <w:marRight w:val="0"/>
          <w:marTop w:val="0"/>
          <w:marBottom w:val="0"/>
          <w:divBdr>
            <w:top w:val="none" w:sz="0" w:space="0" w:color="auto"/>
            <w:left w:val="none" w:sz="0" w:space="0" w:color="auto"/>
            <w:bottom w:val="none" w:sz="0" w:space="0" w:color="auto"/>
            <w:right w:val="none" w:sz="0" w:space="0" w:color="auto"/>
          </w:divBdr>
          <w:divsChild>
            <w:div w:id="1241599542">
              <w:marLeft w:val="0"/>
              <w:marRight w:val="0"/>
              <w:marTop w:val="0"/>
              <w:marBottom w:val="0"/>
              <w:divBdr>
                <w:top w:val="none" w:sz="0" w:space="0" w:color="auto"/>
                <w:left w:val="none" w:sz="0" w:space="0" w:color="auto"/>
                <w:bottom w:val="none" w:sz="0" w:space="0" w:color="auto"/>
                <w:right w:val="none" w:sz="0" w:space="0" w:color="auto"/>
              </w:divBdr>
              <w:divsChild>
                <w:div w:id="345524494">
                  <w:marLeft w:val="0"/>
                  <w:marRight w:val="0"/>
                  <w:marTop w:val="0"/>
                  <w:marBottom w:val="0"/>
                  <w:divBdr>
                    <w:top w:val="none" w:sz="0" w:space="0" w:color="auto"/>
                    <w:left w:val="none" w:sz="0" w:space="0" w:color="auto"/>
                    <w:bottom w:val="none" w:sz="0" w:space="0" w:color="auto"/>
                    <w:right w:val="none" w:sz="0" w:space="0" w:color="auto"/>
                  </w:divBdr>
                  <w:divsChild>
                    <w:div w:id="809324056">
                      <w:marLeft w:val="0"/>
                      <w:marRight w:val="0"/>
                      <w:marTop w:val="0"/>
                      <w:marBottom w:val="0"/>
                      <w:divBdr>
                        <w:top w:val="none" w:sz="0" w:space="0" w:color="auto"/>
                        <w:left w:val="none" w:sz="0" w:space="0" w:color="auto"/>
                        <w:bottom w:val="none" w:sz="0" w:space="0" w:color="auto"/>
                        <w:right w:val="none" w:sz="0" w:space="0" w:color="auto"/>
                      </w:divBdr>
                      <w:divsChild>
                        <w:div w:id="131328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970350">
      <w:bodyDiv w:val="1"/>
      <w:marLeft w:val="0"/>
      <w:marRight w:val="0"/>
      <w:marTop w:val="0"/>
      <w:marBottom w:val="0"/>
      <w:divBdr>
        <w:top w:val="none" w:sz="0" w:space="0" w:color="auto"/>
        <w:left w:val="none" w:sz="0" w:space="0" w:color="auto"/>
        <w:bottom w:val="none" w:sz="0" w:space="0" w:color="auto"/>
        <w:right w:val="none" w:sz="0" w:space="0" w:color="auto"/>
      </w:divBdr>
      <w:divsChild>
        <w:div w:id="137572354">
          <w:marLeft w:val="0"/>
          <w:marRight w:val="0"/>
          <w:marTop w:val="0"/>
          <w:marBottom w:val="0"/>
          <w:divBdr>
            <w:top w:val="none" w:sz="0" w:space="0" w:color="auto"/>
            <w:left w:val="none" w:sz="0" w:space="0" w:color="auto"/>
            <w:bottom w:val="none" w:sz="0" w:space="0" w:color="auto"/>
            <w:right w:val="none" w:sz="0" w:space="0" w:color="auto"/>
          </w:divBdr>
          <w:divsChild>
            <w:div w:id="2039161788">
              <w:marLeft w:val="0"/>
              <w:marRight w:val="0"/>
              <w:marTop w:val="0"/>
              <w:marBottom w:val="0"/>
              <w:divBdr>
                <w:top w:val="none" w:sz="0" w:space="0" w:color="auto"/>
                <w:left w:val="none" w:sz="0" w:space="0" w:color="auto"/>
                <w:bottom w:val="none" w:sz="0" w:space="0" w:color="auto"/>
                <w:right w:val="none" w:sz="0" w:space="0" w:color="auto"/>
              </w:divBdr>
              <w:divsChild>
                <w:div w:id="813526574">
                  <w:marLeft w:val="0"/>
                  <w:marRight w:val="0"/>
                  <w:marTop w:val="0"/>
                  <w:marBottom w:val="0"/>
                  <w:divBdr>
                    <w:top w:val="none" w:sz="0" w:space="0" w:color="auto"/>
                    <w:left w:val="none" w:sz="0" w:space="0" w:color="auto"/>
                    <w:bottom w:val="none" w:sz="0" w:space="0" w:color="auto"/>
                    <w:right w:val="none" w:sz="0" w:space="0" w:color="auto"/>
                  </w:divBdr>
                  <w:divsChild>
                    <w:div w:id="1148934725">
                      <w:marLeft w:val="0"/>
                      <w:marRight w:val="0"/>
                      <w:marTop w:val="0"/>
                      <w:marBottom w:val="0"/>
                      <w:divBdr>
                        <w:top w:val="none" w:sz="0" w:space="0" w:color="auto"/>
                        <w:left w:val="none" w:sz="0" w:space="0" w:color="auto"/>
                        <w:bottom w:val="none" w:sz="0" w:space="0" w:color="auto"/>
                        <w:right w:val="none" w:sz="0" w:space="0" w:color="auto"/>
                      </w:divBdr>
                      <w:divsChild>
                        <w:div w:id="1704088547">
                          <w:marLeft w:val="0"/>
                          <w:marRight w:val="0"/>
                          <w:marTop w:val="0"/>
                          <w:marBottom w:val="751"/>
                          <w:divBdr>
                            <w:top w:val="none" w:sz="0" w:space="0" w:color="auto"/>
                            <w:left w:val="none" w:sz="0" w:space="0" w:color="auto"/>
                            <w:bottom w:val="none" w:sz="0" w:space="0" w:color="auto"/>
                            <w:right w:val="none" w:sz="0" w:space="0" w:color="auto"/>
                          </w:divBdr>
                          <w:divsChild>
                            <w:div w:id="1893880403">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sChild>
                                    <w:div w:id="1940021771">
                                      <w:marLeft w:val="0"/>
                                      <w:marRight w:val="0"/>
                                      <w:marTop w:val="0"/>
                                      <w:marBottom w:val="0"/>
                                      <w:divBdr>
                                        <w:top w:val="none" w:sz="0" w:space="0" w:color="auto"/>
                                        <w:left w:val="none" w:sz="0" w:space="0" w:color="auto"/>
                                        <w:bottom w:val="none" w:sz="0" w:space="0" w:color="auto"/>
                                        <w:right w:val="none" w:sz="0" w:space="0" w:color="auto"/>
                                      </w:divBdr>
                                      <w:divsChild>
                                        <w:div w:id="1571381124">
                                          <w:marLeft w:val="0"/>
                                          <w:marRight w:val="0"/>
                                          <w:marTop w:val="0"/>
                                          <w:marBottom w:val="0"/>
                                          <w:divBdr>
                                            <w:top w:val="none" w:sz="0" w:space="0" w:color="auto"/>
                                            <w:left w:val="none" w:sz="0" w:space="0" w:color="auto"/>
                                            <w:bottom w:val="none" w:sz="0" w:space="0" w:color="auto"/>
                                            <w:right w:val="none" w:sz="0" w:space="0" w:color="auto"/>
                                          </w:divBdr>
                                          <w:divsChild>
                                            <w:div w:id="1690370971">
                                              <w:marLeft w:val="0"/>
                                              <w:marRight w:val="0"/>
                                              <w:marTop w:val="0"/>
                                              <w:marBottom w:val="0"/>
                                              <w:divBdr>
                                                <w:top w:val="single" w:sz="4" w:space="0" w:color="EEEEEE"/>
                                                <w:left w:val="single" w:sz="2" w:space="0" w:color="EEEEEE"/>
                                                <w:bottom w:val="single" w:sz="4" w:space="0" w:color="EEEEEE"/>
                                                <w:right w:val="single" w:sz="4" w:space="0" w:color="EEEEEE"/>
                                              </w:divBdr>
                                              <w:divsChild>
                                                <w:div w:id="64739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7746396">
      <w:bodyDiv w:val="1"/>
      <w:marLeft w:val="0"/>
      <w:marRight w:val="0"/>
      <w:marTop w:val="0"/>
      <w:marBottom w:val="0"/>
      <w:divBdr>
        <w:top w:val="none" w:sz="0" w:space="0" w:color="auto"/>
        <w:left w:val="none" w:sz="0" w:space="0" w:color="auto"/>
        <w:bottom w:val="none" w:sz="0" w:space="0" w:color="auto"/>
        <w:right w:val="none" w:sz="0" w:space="0" w:color="auto"/>
      </w:divBdr>
      <w:divsChild>
        <w:div w:id="1511411539">
          <w:marLeft w:val="0"/>
          <w:marRight w:val="0"/>
          <w:marTop w:val="0"/>
          <w:marBottom w:val="0"/>
          <w:divBdr>
            <w:top w:val="none" w:sz="0" w:space="0" w:color="auto"/>
            <w:left w:val="none" w:sz="0" w:space="0" w:color="auto"/>
            <w:bottom w:val="none" w:sz="0" w:space="0" w:color="auto"/>
            <w:right w:val="none" w:sz="0" w:space="0" w:color="auto"/>
          </w:divBdr>
          <w:divsChild>
            <w:div w:id="2082558313">
              <w:marLeft w:val="0"/>
              <w:marRight w:val="0"/>
              <w:marTop w:val="0"/>
              <w:marBottom w:val="0"/>
              <w:divBdr>
                <w:top w:val="none" w:sz="0" w:space="0" w:color="auto"/>
                <w:left w:val="none" w:sz="0" w:space="0" w:color="auto"/>
                <w:bottom w:val="none" w:sz="0" w:space="0" w:color="auto"/>
                <w:right w:val="none" w:sz="0" w:space="0" w:color="auto"/>
              </w:divBdr>
              <w:divsChild>
                <w:div w:id="2031754996">
                  <w:marLeft w:val="0"/>
                  <w:marRight w:val="0"/>
                  <w:marTop w:val="0"/>
                  <w:marBottom w:val="0"/>
                  <w:divBdr>
                    <w:top w:val="none" w:sz="0" w:space="0" w:color="auto"/>
                    <w:left w:val="none" w:sz="0" w:space="0" w:color="auto"/>
                    <w:bottom w:val="none" w:sz="0" w:space="0" w:color="auto"/>
                    <w:right w:val="none" w:sz="0" w:space="0" w:color="auto"/>
                  </w:divBdr>
                  <w:divsChild>
                    <w:div w:id="553010871">
                      <w:marLeft w:val="0"/>
                      <w:marRight w:val="0"/>
                      <w:marTop w:val="0"/>
                      <w:marBottom w:val="0"/>
                      <w:divBdr>
                        <w:top w:val="none" w:sz="0" w:space="0" w:color="auto"/>
                        <w:left w:val="none" w:sz="0" w:space="0" w:color="auto"/>
                        <w:bottom w:val="none" w:sz="0" w:space="0" w:color="auto"/>
                        <w:right w:val="none" w:sz="0" w:space="0" w:color="auto"/>
                      </w:divBdr>
                      <w:divsChild>
                        <w:div w:id="1696811995">
                          <w:marLeft w:val="0"/>
                          <w:marRight w:val="0"/>
                          <w:marTop w:val="0"/>
                          <w:marBottom w:val="561"/>
                          <w:divBdr>
                            <w:top w:val="none" w:sz="0" w:space="0" w:color="auto"/>
                            <w:left w:val="none" w:sz="0" w:space="0" w:color="auto"/>
                            <w:bottom w:val="none" w:sz="0" w:space="0" w:color="auto"/>
                            <w:right w:val="none" w:sz="0" w:space="0" w:color="auto"/>
                          </w:divBdr>
                          <w:divsChild>
                            <w:div w:id="213388868">
                              <w:marLeft w:val="0"/>
                              <w:marRight w:val="0"/>
                              <w:marTop w:val="0"/>
                              <w:marBottom w:val="0"/>
                              <w:divBdr>
                                <w:top w:val="none" w:sz="0" w:space="0" w:color="auto"/>
                                <w:left w:val="none" w:sz="0" w:space="0" w:color="auto"/>
                                <w:bottom w:val="none" w:sz="0" w:space="0" w:color="auto"/>
                                <w:right w:val="none" w:sz="0" w:space="0" w:color="auto"/>
                              </w:divBdr>
                              <w:divsChild>
                                <w:div w:id="1873759584">
                                  <w:marLeft w:val="0"/>
                                  <w:marRight w:val="0"/>
                                  <w:marTop w:val="0"/>
                                  <w:marBottom w:val="0"/>
                                  <w:divBdr>
                                    <w:top w:val="none" w:sz="0" w:space="0" w:color="auto"/>
                                    <w:left w:val="none" w:sz="0" w:space="0" w:color="auto"/>
                                    <w:bottom w:val="none" w:sz="0" w:space="0" w:color="auto"/>
                                    <w:right w:val="none" w:sz="0" w:space="0" w:color="auto"/>
                                  </w:divBdr>
                                  <w:divsChild>
                                    <w:div w:id="1627660947">
                                      <w:marLeft w:val="0"/>
                                      <w:marRight w:val="0"/>
                                      <w:marTop w:val="0"/>
                                      <w:marBottom w:val="0"/>
                                      <w:divBdr>
                                        <w:top w:val="none" w:sz="0" w:space="0" w:color="auto"/>
                                        <w:left w:val="none" w:sz="0" w:space="0" w:color="auto"/>
                                        <w:bottom w:val="none" w:sz="0" w:space="0" w:color="auto"/>
                                        <w:right w:val="none" w:sz="0" w:space="0" w:color="auto"/>
                                      </w:divBdr>
                                      <w:divsChild>
                                        <w:div w:id="5984578">
                                          <w:marLeft w:val="0"/>
                                          <w:marRight w:val="0"/>
                                          <w:marTop w:val="0"/>
                                          <w:marBottom w:val="0"/>
                                          <w:divBdr>
                                            <w:top w:val="none" w:sz="0" w:space="0" w:color="auto"/>
                                            <w:left w:val="none" w:sz="0" w:space="0" w:color="auto"/>
                                            <w:bottom w:val="none" w:sz="0" w:space="0" w:color="auto"/>
                                            <w:right w:val="none" w:sz="0" w:space="0" w:color="auto"/>
                                          </w:divBdr>
                                          <w:divsChild>
                                            <w:div w:id="1122266260">
                                              <w:marLeft w:val="0"/>
                                              <w:marRight w:val="0"/>
                                              <w:marTop w:val="0"/>
                                              <w:marBottom w:val="0"/>
                                              <w:divBdr>
                                                <w:top w:val="single" w:sz="4" w:space="0" w:color="EEEEEE"/>
                                                <w:left w:val="single" w:sz="2" w:space="0" w:color="EEEEEE"/>
                                                <w:bottom w:val="single" w:sz="4" w:space="0" w:color="EEEEEE"/>
                                                <w:right w:val="single" w:sz="4" w:space="0" w:color="EEEEEE"/>
                                              </w:divBdr>
                                              <w:divsChild>
                                                <w:div w:id="86155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0238988">
      <w:bodyDiv w:val="1"/>
      <w:marLeft w:val="0"/>
      <w:marRight w:val="0"/>
      <w:marTop w:val="0"/>
      <w:marBottom w:val="0"/>
      <w:divBdr>
        <w:top w:val="none" w:sz="0" w:space="0" w:color="auto"/>
        <w:left w:val="none" w:sz="0" w:space="0" w:color="auto"/>
        <w:bottom w:val="none" w:sz="0" w:space="0" w:color="auto"/>
        <w:right w:val="none" w:sz="0" w:space="0" w:color="auto"/>
      </w:divBdr>
      <w:divsChild>
        <w:div w:id="1933200474">
          <w:marLeft w:val="0"/>
          <w:marRight w:val="0"/>
          <w:marTop w:val="0"/>
          <w:marBottom w:val="0"/>
          <w:divBdr>
            <w:top w:val="none" w:sz="0" w:space="0" w:color="auto"/>
            <w:left w:val="none" w:sz="0" w:space="0" w:color="auto"/>
            <w:bottom w:val="none" w:sz="0" w:space="0" w:color="auto"/>
            <w:right w:val="none" w:sz="0" w:space="0" w:color="auto"/>
          </w:divBdr>
          <w:divsChild>
            <w:div w:id="308176122">
              <w:marLeft w:val="0"/>
              <w:marRight w:val="0"/>
              <w:marTop w:val="0"/>
              <w:marBottom w:val="0"/>
              <w:divBdr>
                <w:top w:val="none" w:sz="0" w:space="0" w:color="auto"/>
                <w:left w:val="none" w:sz="0" w:space="0" w:color="auto"/>
                <w:bottom w:val="none" w:sz="0" w:space="0" w:color="auto"/>
                <w:right w:val="none" w:sz="0" w:space="0" w:color="auto"/>
              </w:divBdr>
              <w:divsChild>
                <w:div w:id="935552721">
                  <w:marLeft w:val="0"/>
                  <w:marRight w:val="0"/>
                  <w:marTop w:val="0"/>
                  <w:marBottom w:val="0"/>
                  <w:divBdr>
                    <w:top w:val="none" w:sz="0" w:space="0" w:color="auto"/>
                    <w:left w:val="none" w:sz="0" w:space="0" w:color="auto"/>
                    <w:bottom w:val="none" w:sz="0" w:space="0" w:color="auto"/>
                    <w:right w:val="none" w:sz="0" w:space="0" w:color="auto"/>
                  </w:divBdr>
                  <w:divsChild>
                    <w:div w:id="655837684">
                      <w:marLeft w:val="0"/>
                      <w:marRight w:val="0"/>
                      <w:marTop w:val="0"/>
                      <w:marBottom w:val="0"/>
                      <w:divBdr>
                        <w:top w:val="none" w:sz="0" w:space="0" w:color="auto"/>
                        <w:left w:val="none" w:sz="0" w:space="0" w:color="auto"/>
                        <w:bottom w:val="none" w:sz="0" w:space="0" w:color="auto"/>
                        <w:right w:val="none" w:sz="0" w:space="0" w:color="auto"/>
                      </w:divBdr>
                      <w:divsChild>
                        <w:div w:id="1312097428">
                          <w:marLeft w:val="0"/>
                          <w:marRight w:val="0"/>
                          <w:marTop w:val="0"/>
                          <w:marBottom w:val="751"/>
                          <w:divBdr>
                            <w:top w:val="none" w:sz="0" w:space="0" w:color="auto"/>
                            <w:left w:val="none" w:sz="0" w:space="0" w:color="auto"/>
                            <w:bottom w:val="none" w:sz="0" w:space="0" w:color="auto"/>
                            <w:right w:val="none" w:sz="0" w:space="0" w:color="auto"/>
                          </w:divBdr>
                          <w:divsChild>
                            <w:div w:id="723454945">
                              <w:marLeft w:val="0"/>
                              <w:marRight w:val="0"/>
                              <w:marTop w:val="0"/>
                              <w:marBottom w:val="0"/>
                              <w:divBdr>
                                <w:top w:val="none" w:sz="0" w:space="0" w:color="auto"/>
                                <w:left w:val="none" w:sz="0" w:space="0" w:color="auto"/>
                                <w:bottom w:val="none" w:sz="0" w:space="0" w:color="auto"/>
                                <w:right w:val="none" w:sz="0" w:space="0" w:color="auto"/>
                              </w:divBdr>
                              <w:divsChild>
                                <w:div w:id="1537503251">
                                  <w:marLeft w:val="0"/>
                                  <w:marRight w:val="0"/>
                                  <w:marTop w:val="0"/>
                                  <w:marBottom w:val="0"/>
                                  <w:divBdr>
                                    <w:top w:val="none" w:sz="0" w:space="0" w:color="auto"/>
                                    <w:left w:val="none" w:sz="0" w:space="0" w:color="auto"/>
                                    <w:bottom w:val="none" w:sz="0" w:space="0" w:color="auto"/>
                                    <w:right w:val="none" w:sz="0" w:space="0" w:color="auto"/>
                                  </w:divBdr>
                                  <w:divsChild>
                                    <w:div w:id="467017712">
                                      <w:marLeft w:val="0"/>
                                      <w:marRight w:val="0"/>
                                      <w:marTop w:val="0"/>
                                      <w:marBottom w:val="0"/>
                                      <w:divBdr>
                                        <w:top w:val="none" w:sz="0" w:space="0" w:color="auto"/>
                                        <w:left w:val="none" w:sz="0" w:space="0" w:color="auto"/>
                                        <w:bottom w:val="none" w:sz="0" w:space="0" w:color="auto"/>
                                        <w:right w:val="none" w:sz="0" w:space="0" w:color="auto"/>
                                      </w:divBdr>
                                      <w:divsChild>
                                        <w:div w:id="809638384">
                                          <w:marLeft w:val="0"/>
                                          <w:marRight w:val="0"/>
                                          <w:marTop w:val="0"/>
                                          <w:marBottom w:val="0"/>
                                          <w:divBdr>
                                            <w:top w:val="none" w:sz="0" w:space="0" w:color="auto"/>
                                            <w:left w:val="none" w:sz="0" w:space="0" w:color="auto"/>
                                            <w:bottom w:val="none" w:sz="0" w:space="0" w:color="auto"/>
                                            <w:right w:val="none" w:sz="0" w:space="0" w:color="auto"/>
                                          </w:divBdr>
                                          <w:divsChild>
                                            <w:div w:id="1612474216">
                                              <w:marLeft w:val="0"/>
                                              <w:marRight w:val="0"/>
                                              <w:marTop w:val="0"/>
                                              <w:marBottom w:val="0"/>
                                              <w:divBdr>
                                                <w:top w:val="single" w:sz="4" w:space="0" w:color="EEEEEE"/>
                                                <w:left w:val="single" w:sz="2" w:space="0" w:color="EEEEEE"/>
                                                <w:bottom w:val="single" w:sz="4" w:space="0" w:color="EEEEEE"/>
                                                <w:right w:val="single" w:sz="4" w:space="0" w:color="EEEEEE"/>
                                              </w:divBdr>
                                              <w:divsChild>
                                                <w:div w:id="194826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4242918">
      <w:bodyDiv w:val="1"/>
      <w:marLeft w:val="0"/>
      <w:marRight w:val="0"/>
      <w:marTop w:val="0"/>
      <w:marBottom w:val="0"/>
      <w:divBdr>
        <w:top w:val="none" w:sz="0" w:space="0" w:color="auto"/>
        <w:left w:val="none" w:sz="0" w:space="0" w:color="auto"/>
        <w:bottom w:val="none" w:sz="0" w:space="0" w:color="auto"/>
        <w:right w:val="none" w:sz="0" w:space="0" w:color="auto"/>
      </w:divBdr>
      <w:divsChild>
        <w:div w:id="618074505">
          <w:marLeft w:val="0"/>
          <w:marRight w:val="0"/>
          <w:marTop w:val="0"/>
          <w:marBottom w:val="0"/>
          <w:divBdr>
            <w:top w:val="none" w:sz="0" w:space="0" w:color="auto"/>
            <w:left w:val="none" w:sz="0" w:space="0" w:color="auto"/>
            <w:bottom w:val="none" w:sz="0" w:space="0" w:color="auto"/>
            <w:right w:val="none" w:sz="0" w:space="0" w:color="auto"/>
          </w:divBdr>
          <w:divsChild>
            <w:div w:id="169300755">
              <w:marLeft w:val="0"/>
              <w:marRight w:val="0"/>
              <w:marTop w:val="0"/>
              <w:marBottom w:val="0"/>
              <w:divBdr>
                <w:top w:val="none" w:sz="0" w:space="0" w:color="auto"/>
                <w:left w:val="none" w:sz="0" w:space="0" w:color="auto"/>
                <w:bottom w:val="none" w:sz="0" w:space="0" w:color="auto"/>
                <w:right w:val="none" w:sz="0" w:space="0" w:color="auto"/>
              </w:divBdr>
              <w:divsChild>
                <w:div w:id="184253716">
                  <w:marLeft w:val="0"/>
                  <w:marRight w:val="0"/>
                  <w:marTop w:val="0"/>
                  <w:marBottom w:val="13"/>
                  <w:divBdr>
                    <w:top w:val="none" w:sz="0" w:space="0" w:color="auto"/>
                    <w:left w:val="none" w:sz="0" w:space="0" w:color="auto"/>
                    <w:bottom w:val="single" w:sz="4" w:space="0" w:color="DDDDDD"/>
                    <w:right w:val="none" w:sz="0" w:space="0" w:color="auto"/>
                  </w:divBdr>
                  <w:divsChild>
                    <w:div w:id="20376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571104">
      <w:bodyDiv w:val="1"/>
      <w:marLeft w:val="0"/>
      <w:marRight w:val="0"/>
      <w:marTop w:val="0"/>
      <w:marBottom w:val="0"/>
      <w:divBdr>
        <w:top w:val="none" w:sz="0" w:space="0" w:color="auto"/>
        <w:left w:val="none" w:sz="0" w:space="0" w:color="auto"/>
        <w:bottom w:val="none" w:sz="0" w:space="0" w:color="auto"/>
        <w:right w:val="none" w:sz="0" w:space="0" w:color="auto"/>
      </w:divBdr>
      <w:divsChild>
        <w:div w:id="1699351515">
          <w:marLeft w:val="0"/>
          <w:marRight w:val="0"/>
          <w:marTop w:val="0"/>
          <w:marBottom w:val="0"/>
          <w:divBdr>
            <w:top w:val="none" w:sz="0" w:space="0" w:color="auto"/>
            <w:left w:val="none" w:sz="0" w:space="0" w:color="auto"/>
            <w:bottom w:val="none" w:sz="0" w:space="0" w:color="auto"/>
            <w:right w:val="none" w:sz="0" w:space="0" w:color="auto"/>
          </w:divBdr>
          <w:divsChild>
            <w:div w:id="848299338">
              <w:marLeft w:val="0"/>
              <w:marRight w:val="0"/>
              <w:marTop w:val="0"/>
              <w:marBottom w:val="0"/>
              <w:divBdr>
                <w:top w:val="none" w:sz="0" w:space="0" w:color="auto"/>
                <w:left w:val="none" w:sz="0" w:space="0" w:color="auto"/>
                <w:bottom w:val="none" w:sz="0" w:space="0" w:color="auto"/>
                <w:right w:val="none" w:sz="0" w:space="0" w:color="auto"/>
              </w:divBdr>
              <w:divsChild>
                <w:div w:id="24718307">
                  <w:marLeft w:val="0"/>
                  <w:marRight w:val="0"/>
                  <w:marTop w:val="0"/>
                  <w:marBottom w:val="0"/>
                  <w:divBdr>
                    <w:top w:val="none" w:sz="0" w:space="0" w:color="auto"/>
                    <w:left w:val="none" w:sz="0" w:space="0" w:color="auto"/>
                    <w:bottom w:val="none" w:sz="0" w:space="0" w:color="auto"/>
                    <w:right w:val="none" w:sz="0" w:space="0" w:color="auto"/>
                  </w:divBdr>
                  <w:divsChild>
                    <w:div w:id="704866975">
                      <w:marLeft w:val="0"/>
                      <w:marRight w:val="0"/>
                      <w:marTop w:val="0"/>
                      <w:marBottom w:val="0"/>
                      <w:divBdr>
                        <w:top w:val="none" w:sz="0" w:space="0" w:color="auto"/>
                        <w:left w:val="none" w:sz="0" w:space="0" w:color="auto"/>
                        <w:bottom w:val="none" w:sz="0" w:space="0" w:color="auto"/>
                        <w:right w:val="none" w:sz="0" w:space="0" w:color="auto"/>
                      </w:divBdr>
                      <w:divsChild>
                        <w:div w:id="395779792">
                          <w:marLeft w:val="0"/>
                          <w:marRight w:val="0"/>
                          <w:marTop w:val="0"/>
                          <w:marBottom w:val="751"/>
                          <w:divBdr>
                            <w:top w:val="none" w:sz="0" w:space="0" w:color="auto"/>
                            <w:left w:val="none" w:sz="0" w:space="0" w:color="auto"/>
                            <w:bottom w:val="none" w:sz="0" w:space="0" w:color="auto"/>
                            <w:right w:val="none" w:sz="0" w:space="0" w:color="auto"/>
                          </w:divBdr>
                          <w:divsChild>
                            <w:div w:id="2035569830">
                              <w:marLeft w:val="0"/>
                              <w:marRight w:val="0"/>
                              <w:marTop w:val="0"/>
                              <w:marBottom w:val="0"/>
                              <w:divBdr>
                                <w:top w:val="none" w:sz="0" w:space="0" w:color="auto"/>
                                <w:left w:val="none" w:sz="0" w:space="0" w:color="auto"/>
                                <w:bottom w:val="none" w:sz="0" w:space="0" w:color="auto"/>
                                <w:right w:val="none" w:sz="0" w:space="0" w:color="auto"/>
                              </w:divBdr>
                              <w:divsChild>
                                <w:div w:id="1375814654">
                                  <w:marLeft w:val="0"/>
                                  <w:marRight w:val="0"/>
                                  <w:marTop w:val="0"/>
                                  <w:marBottom w:val="0"/>
                                  <w:divBdr>
                                    <w:top w:val="none" w:sz="0" w:space="0" w:color="auto"/>
                                    <w:left w:val="none" w:sz="0" w:space="0" w:color="auto"/>
                                    <w:bottom w:val="none" w:sz="0" w:space="0" w:color="auto"/>
                                    <w:right w:val="none" w:sz="0" w:space="0" w:color="auto"/>
                                  </w:divBdr>
                                  <w:divsChild>
                                    <w:div w:id="1276328302">
                                      <w:marLeft w:val="0"/>
                                      <w:marRight w:val="0"/>
                                      <w:marTop w:val="0"/>
                                      <w:marBottom w:val="0"/>
                                      <w:divBdr>
                                        <w:top w:val="none" w:sz="0" w:space="0" w:color="auto"/>
                                        <w:left w:val="none" w:sz="0" w:space="0" w:color="auto"/>
                                        <w:bottom w:val="none" w:sz="0" w:space="0" w:color="auto"/>
                                        <w:right w:val="none" w:sz="0" w:space="0" w:color="auto"/>
                                      </w:divBdr>
                                      <w:divsChild>
                                        <w:div w:id="707147728">
                                          <w:marLeft w:val="0"/>
                                          <w:marRight w:val="0"/>
                                          <w:marTop w:val="0"/>
                                          <w:marBottom w:val="0"/>
                                          <w:divBdr>
                                            <w:top w:val="none" w:sz="0" w:space="0" w:color="auto"/>
                                            <w:left w:val="none" w:sz="0" w:space="0" w:color="auto"/>
                                            <w:bottom w:val="none" w:sz="0" w:space="0" w:color="auto"/>
                                            <w:right w:val="none" w:sz="0" w:space="0" w:color="auto"/>
                                          </w:divBdr>
                                          <w:divsChild>
                                            <w:div w:id="183790427">
                                              <w:marLeft w:val="0"/>
                                              <w:marRight w:val="0"/>
                                              <w:marTop w:val="0"/>
                                              <w:marBottom w:val="0"/>
                                              <w:divBdr>
                                                <w:top w:val="single" w:sz="4" w:space="0" w:color="EEEEEE"/>
                                                <w:left w:val="single" w:sz="2" w:space="0" w:color="EEEEEE"/>
                                                <w:bottom w:val="single" w:sz="4" w:space="0" w:color="EEEEEE"/>
                                                <w:right w:val="single" w:sz="4" w:space="0" w:color="EEEEEE"/>
                                              </w:divBdr>
                                              <w:divsChild>
                                                <w:div w:id="148242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1537267">
      <w:bodyDiv w:val="1"/>
      <w:marLeft w:val="0"/>
      <w:marRight w:val="0"/>
      <w:marTop w:val="0"/>
      <w:marBottom w:val="0"/>
      <w:divBdr>
        <w:top w:val="none" w:sz="0" w:space="0" w:color="auto"/>
        <w:left w:val="none" w:sz="0" w:space="0" w:color="auto"/>
        <w:bottom w:val="none" w:sz="0" w:space="0" w:color="auto"/>
        <w:right w:val="none" w:sz="0" w:space="0" w:color="auto"/>
      </w:divBdr>
    </w:div>
    <w:div w:id="1350718416">
      <w:bodyDiv w:val="1"/>
      <w:marLeft w:val="0"/>
      <w:marRight w:val="0"/>
      <w:marTop w:val="0"/>
      <w:marBottom w:val="0"/>
      <w:divBdr>
        <w:top w:val="none" w:sz="0" w:space="0" w:color="auto"/>
        <w:left w:val="none" w:sz="0" w:space="0" w:color="auto"/>
        <w:bottom w:val="none" w:sz="0" w:space="0" w:color="auto"/>
        <w:right w:val="none" w:sz="0" w:space="0" w:color="auto"/>
      </w:divBdr>
      <w:divsChild>
        <w:div w:id="8798635">
          <w:marLeft w:val="0"/>
          <w:marRight w:val="0"/>
          <w:marTop w:val="0"/>
          <w:marBottom w:val="0"/>
          <w:divBdr>
            <w:top w:val="none" w:sz="0" w:space="0" w:color="auto"/>
            <w:left w:val="none" w:sz="0" w:space="0" w:color="auto"/>
            <w:bottom w:val="none" w:sz="0" w:space="0" w:color="auto"/>
            <w:right w:val="none" w:sz="0" w:space="0" w:color="auto"/>
          </w:divBdr>
          <w:divsChild>
            <w:div w:id="155726568">
              <w:marLeft w:val="0"/>
              <w:marRight w:val="0"/>
              <w:marTop w:val="0"/>
              <w:marBottom w:val="0"/>
              <w:divBdr>
                <w:top w:val="none" w:sz="0" w:space="0" w:color="auto"/>
                <w:left w:val="none" w:sz="0" w:space="0" w:color="auto"/>
                <w:bottom w:val="none" w:sz="0" w:space="0" w:color="auto"/>
                <w:right w:val="none" w:sz="0" w:space="0" w:color="auto"/>
              </w:divBdr>
              <w:divsChild>
                <w:div w:id="398089683">
                  <w:marLeft w:val="0"/>
                  <w:marRight w:val="0"/>
                  <w:marTop w:val="0"/>
                  <w:marBottom w:val="0"/>
                  <w:divBdr>
                    <w:top w:val="none" w:sz="0" w:space="0" w:color="auto"/>
                    <w:left w:val="none" w:sz="0" w:space="0" w:color="auto"/>
                    <w:bottom w:val="none" w:sz="0" w:space="0" w:color="auto"/>
                    <w:right w:val="none" w:sz="0" w:space="0" w:color="auto"/>
                  </w:divBdr>
                  <w:divsChild>
                    <w:div w:id="726955717">
                      <w:marLeft w:val="0"/>
                      <w:marRight w:val="0"/>
                      <w:marTop w:val="0"/>
                      <w:marBottom w:val="0"/>
                      <w:divBdr>
                        <w:top w:val="none" w:sz="0" w:space="0" w:color="auto"/>
                        <w:left w:val="none" w:sz="0" w:space="0" w:color="auto"/>
                        <w:bottom w:val="none" w:sz="0" w:space="0" w:color="auto"/>
                        <w:right w:val="none" w:sz="0" w:space="0" w:color="auto"/>
                      </w:divBdr>
                      <w:divsChild>
                        <w:div w:id="1659306736">
                          <w:marLeft w:val="0"/>
                          <w:marRight w:val="0"/>
                          <w:marTop w:val="0"/>
                          <w:marBottom w:val="0"/>
                          <w:divBdr>
                            <w:top w:val="none" w:sz="0" w:space="0" w:color="auto"/>
                            <w:left w:val="none" w:sz="0" w:space="0" w:color="auto"/>
                            <w:bottom w:val="none" w:sz="0" w:space="0" w:color="auto"/>
                            <w:right w:val="none" w:sz="0" w:space="0" w:color="auto"/>
                          </w:divBdr>
                          <w:divsChild>
                            <w:div w:id="2057241970">
                              <w:marLeft w:val="0"/>
                              <w:marRight w:val="0"/>
                              <w:marTop w:val="0"/>
                              <w:marBottom w:val="0"/>
                              <w:divBdr>
                                <w:top w:val="none" w:sz="0" w:space="0" w:color="auto"/>
                                <w:left w:val="none" w:sz="0" w:space="0" w:color="auto"/>
                                <w:bottom w:val="none" w:sz="0" w:space="0" w:color="auto"/>
                                <w:right w:val="none" w:sz="0" w:space="0" w:color="auto"/>
                              </w:divBdr>
                              <w:divsChild>
                                <w:div w:id="7643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5589146">
      <w:bodyDiv w:val="1"/>
      <w:marLeft w:val="0"/>
      <w:marRight w:val="0"/>
      <w:marTop w:val="0"/>
      <w:marBottom w:val="0"/>
      <w:divBdr>
        <w:top w:val="none" w:sz="0" w:space="0" w:color="auto"/>
        <w:left w:val="none" w:sz="0" w:space="0" w:color="auto"/>
        <w:bottom w:val="none" w:sz="0" w:space="0" w:color="auto"/>
        <w:right w:val="none" w:sz="0" w:space="0" w:color="auto"/>
      </w:divBdr>
      <w:divsChild>
        <w:div w:id="1034960782">
          <w:marLeft w:val="0"/>
          <w:marRight w:val="0"/>
          <w:marTop w:val="0"/>
          <w:marBottom w:val="0"/>
          <w:divBdr>
            <w:top w:val="none" w:sz="0" w:space="0" w:color="auto"/>
            <w:left w:val="none" w:sz="0" w:space="0" w:color="auto"/>
            <w:bottom w:val="none" w:sz="0" w:space="0" w:color="auto"/>
            <w:right w:val="none" w:sz="0" w:space="0" w:color="auto"/>
          </w:divBdr>
          <w:divsChild>
            <w:div w:id="680476261">
              <w:marLeft w:val="0"/>
              <w:marRight w:val="0"/>
              <w:marTop w:val="0"/>
              <w:marBottom w:val="0"/>
              <w:divBdr>
                <w:top w:val="none" w:sz="0" w:space="0" w:color="auto"/>
                <w:left w:val="none" w:sz="0" w:space="0" w:color="auto"/>
                <w:bottom w:val="none" w:sz="0" w:space="0" w:color="auto"/>
                <w:right w:val="none" w:sz="0" w:space="0" w:color="auto"/>
              </w:divBdr>
              <w:divsChild>
                <w:div w:id="933175156">
                  <w:marLeft w:val="0"/>
                  <w:marRight w:val="0"/>
                  <w:marTop w:val="0"/>
                  <w:marBottom w:val="0"/>
                  <w:divBdr>
                    <w:top w:val="none" w:sz="0" w:space="0" w:color="auto"/>
                    <w:left w:val="none" w:sz="0" w:space="0" w:color="auto"/>
                    <w:bottom w:val="none" w:sz="0" w:space="0" w:color="auto"/>
                    <w:right w:val="none" w:sz="0" w:space="0" w:color="auto"/>
                  </w:divBdr>
                  <w:divsChild>
                    <w:div w:id="417092782">
                      <w:marLeft w:val="0"/>
                      <w:marRight w:val="0"/>
                      <w:marTop w:val="0"/>
                      <w:marBottom w:val="0"/>
                      <w:divBdr>
                        <w:top w:val="none" w:sz="0" w:space="0" w:color="auto"/>
                        <w:left w:val="none" w:sz="0" w:space="0" w:color="auto"/>
                        <w:bottom w:val="none" w:sz="0" w:space="0" w:color="auto"/>
                        <w:right w:val="none" w:sz="0" w:space="0" w:color="auto"/>
                      </w:divBdr>
                      <w:divsChild>
                        <w:div w:id="740836321">
                          <w:marLeft w:val="0"/>
                          <w:marRight w:val="0"/>
                          <w:marTop w:val="0"/>
                          <w:marBottom w:val="751"/>
                          <w:divBdr>
                            <w:top w:val="none" w:sz="0" w:space="0" w:color="auto"/>
                            <w:left w:val="none" w:sz="0" w:space="0" w:color="auto"/>
                            <w:bottom w:val="none" w:sz="0" w:space="0" w:color="auto"/>
                            <w:right w:val="none" w:sz="0" w:space="0" w:color="auto"/>
                          </w:divBdr>
                          <w:divsChild>
                            <w:div w:id="1370446732">
                              <w:marLeft w:val="0"/>
                              <w:marRight w:val="0"/>
                              <w:marTop w:val="0"/>
                              <w:marBottom w:val="0"/>
                              <w:divBdr>
                                <w:top w:val="none" w:sz="0" w:space="0" w:color="auto"/>
                                <w:left w:val="none" w:sz="0" w:space="0" w:color="auto"/>
                                <w:bottom w:val="none" w:sz="0" w:space="0" w:color="auto"/>
                                <w:right w:val="none" w:sz="0" w:space="0" w:color="auto"/>
                              </w:divBdr>
                              <w:divsChild>
                                <w:div w:id="1937903816">
                                  <w:marLeft w:val="0"/>
                                  <w:marRight w:val="0"/>
                                  <w:marTop w:val="0"/>
                                  <w:marBottom w:val="0"/>
                                  <w:divBdr>
                                    <w:top w:val="none" w:sz="0" w:space="0" w:color="auto"/>
                                    <w:left w:val="none" w:sz="0" w:space="0" w:color="auto"/>
                                    <w:bottom w:val="none" w:sz="0" w:space="0" w:color="auto"/>
                                    <w:right w:val="none" w:sz="0" w:space="0" w:color="auto"/>
                                  </w:divBdr>
                                  <w:divsChild>
                                    <w:div w:id="1211576116">
                                      <w:marLeft w:val="0"/>
                                      <w:marRight w:val="0"/>
                                      <w:marTop w:val="0"/>
                                      <w:marBottom w:val="0"/>
                                      <w:divBdr>
                                        <w:top w:val="none" w:sz="0" w:space="0" w:color="auto"/>
                                        <w:left w:val="none" w:sz="0" w:space="0" w:color="auto"/>
                                        <w:bottom w:val="none" w:sz="0" w:space="0" w:color="auto"/>
                                        <w:right w:val="none" w:sz="0" w:space="0" w:color="auto"/>
                                      </w:divBdr>
                                      <w:divsChild>
                                        <w:div w:id="446971823">
                                          <w:marLeft w:val="0"/>
                                          <w:marRight w:val="0"/>
                                          <w:marTop w:val="0"/>
                                          <w:marBottom w:val="0"/>
                                          <w:divBdr>
                                            <w:top w:val="none" w:sz="0" w:space="0" w:color="auto"/>
                                            <w:left w:val="none" w:sz="0" w:space="0" w:color="auto"/>
                                            <w:bottom w:val="none" w:sz="0" w:space="0" w:color="auto"/>
                                            <w:right w:val="none" w:sz="0" w:space="0" w:color="auto"/>
                                          </w:divBdr>
                                          <w:divsChild>
                                            <w:div w:id="628634568">
                                              <w:marLeft w:val="0"/>
                                              <w:marRight w:val="0"/>
                                              <w:marTop w:val="0"/>
                                              <w:marBottom w:val="0"/>
                                              <w:divBdr>
                                                <w:top w:val="single" w:sz="4" w:space="0" w:color="EEEEEE"/>
                                                <w:left w:val="single" w:sz="2" w:space="0" w:color="EEEEEE"/>
                                                <w:bottom w:val="single" w:sz="4" w:space="0" w:color="EEEEEE"/>
                                                <w:right w:val="single" w:sz="4" w:space="0" w:color="EEEEEE"/>
                                              </w:divBdr>
                                              <w:divsChild>
                                                <w:div w:id="18196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21819109">
      <w:bodyDiv w:val="1"/>
      <w:marLeft w:val="0"/>
      <w:marRight w:val="0"/>
      <w:marTop w:val="0"/>
      <w:marBottom w:val="0"/>
      <w:divBdr>
        <w:top w:val="none" w:sz="0" w:space="0" w:color="auto"/>
        <w:left w:val="none" w:sz="0" w:space="0" w:color="auto"/>
        <w:bottom w:val="none" w:sz="0" w:space="0" w:color="auto"/>
        <w:right w:val="none" w:sz="0" w:space="0" w:color="auto"/>
      </w:divBdr>
    </w:div>
    <w:div w:id="1762603933">
      <w:bodyDiv w:val="1"/>
      <w:marLeft w:val="0"/>
      <w:marRight w:val="0"/>
      <w:marTop w:val="0"/>
      <w:marBottom w:val="0"/>
      <w:divBdr>
        <w:top w:val="none" w:sz="0" w:space="0" w:color="auto"/>
        <w:left w:val="none" w:sz="0" w:space="0" w:color="auto"/>
        <w:bottom w:val="none" w:sz="0" w:space="0" w:color="auto"/>
        <w:right w:val="none" w:sz="0" w:space="0" w:color="auto"/>
      </w:divBdr>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53131039">
      <w:bodyDiv w:val="1"/>
      <w:marLeft w:val="0"/>
      <w:marRight w:val="0"/>
      <w:marTop w:val="0"/>
      <w:marBottom w:val="0"/>
      <w:divBdr>
        <w:top w:val="none" w:sz="0" w:space="0" w:color="auto"/>
        <w:left w:val="none" w:sz="0" w:space="0" w:color="auto"/>
        <w:bottom w:val="none" w:sz="0" w:space="0" w:color="auto"/>
        <w:right w:val="none" w:sz="0" w:space="0" w:color="auto"/>
      </w:divBdr>
    </w:div>
    <w:div w:id="1978682059">
      <w:bodyDiv w:val="1"/>
      <w:marLeft w:val="0"/>
      <w:marRight w:val="0"/>
      <w:marTop w:val="0"/>
      <w:marBottom w:val="0"/>
      <w:divBdr>
        <w:top w:val="none" w:sz="0" w:space="0" w:color="auto"/>
        <w:left w:val="none" w:sz="0" w:space="0" w:color="auto"/>
        <w:bottom w:val="none" w:sz="0" w:space="0" w:color="auto"/>
        <w:right w:val="none" w:sz="0" w:space="0" w:color="auto"/>
      </w:divBdr>
      <w:divsChild>
        <w:div w:id="265386896">
          <w:marLeft w:val="0"/>
          <w:marRight w:val="0"/>
          <w:marTop w:val="0"/>
          <w:marBottom w:val="0"/>
          <w:divBdr>
            <w:top w:val="none" w:sz="0" w:space="0" w:color="auto"/>
            <w:left w:val="none" w:sz="0" w:space="0" w:color="auto"/>
            <w:bottom w:val="none" w:sz="0" w:space="0" w:color="auto"/>
            <w:right w:val="none" w:sz="0" w:space="0" w:color="auto"/>
          </w:divBdr>
          <w:divsChild>
            <w:div w:id="1110204236">
              <w:marLeft w:val="0"/>
              <w:marRight w:val="0"/>
              <w:marTop w:val="0"/>
              <w:marBottom w:val="0"/>
              <w:divBdr>
                <w:top w:val="none" w:sz="0" w:space="0" w:color="auto"/>
                <w:left w:val="none" w:sz="0" w:space="0" w:color="auto"/>
                <w:bottom w:val="none" w:sz="0" w:space="0" w:color="auto"/>
                <w:right w:val="none" w:sz="0" w:space="0" w:color="auto"/>
              </w:divBdr>
              <w:divsChild>
                <w:div w:id="1712654275">
                  <w:marLeft w:val="0"/>
                  <w:marRight w:val="0"/>
                  <w:marTop w:val="0"/>
                  <w:marBottom w:val="0"/>
                  <w:divBdr>
                    <w:top w:val="none" w:sz="0" w:space="0" w:color="auto"/>
                    <w:left w:val="none" w:sz="0" w:space="0" w:color="auto"/>
                    <w:bottom w:val="none" w:sz="0" w:space="0" w:color="auto"/>
                    <w:right w:val="none" w:sz="0" w:space="0" w:color="auto"/>
                  </w:divBdr>
                  <w:divsChild>
                    <w:div w:id="1758601121">
                      <w:marLeft w:val="0"/>
                      <w:marRight w:val="0"/>
                      <w:marTop w:val="0"/>
                      <w:marBottom w:val="0"/>
                      <w:divBdr>
                        <w:top w:val="none" w:sz="0" w:space="0" w:color="auto"/>
                        <w:left w:val="none" w:sz="0" w:space="0" w:color="auto"/>
                        <w:bottom w:val="none" w:sz="0" w:space="0" w:color="auto"/>
                        <w:right w:val="none" w:sz="0" w:space="0" w:color="auto"/>
                      </w:divBdr>
                      <w:divsChild>
                        <w:div w:id="1794790392">
                          <w:marLeft w:val="0"/>
                          <w:marRight w:val="0"/>
                          <w:marTop w:val="0"/>
                          <w:marBottom w:val="751"/>
                          <w:divBdr>
                            <w:top w:val="none" w:sz="0" w:space="0" w:color="auto"/>
                            <w:left w:val="none" w:sz="0" w:space="0" w:color="auto"/>
                            <w:bottom w:val="none" w:sz="0" w:space="0" w:color="auto"/>
                            <w:right w:val="none" w:sz="0" w:space="0" w:color="auto"/>
                          </w:divBdr>
                          <w:divsChild>
                            <w:div w:id="519321163">
                              <w:marLeft w:val="0"/>
                              <w:marRight w:val="0"/>
                              <w:marTop w:val="0"/>
                              <w:marBottom w:val="0"/>
                              <w:divBdr>
                                <w:top w:val="none" w:sz="0" w:space="0" w:color="auto"/>
                                <w:left w:val="none" w:sz="0" w:space="0" w:color="auto"/>
                                <w:bottom w:val="none" w:sz="0" w:space="0" w:color="auto"/>
                                <w:right w:val="none" w:sz="0" w:space="0" w:color="auto"/>
                              </w:divBdr>
                              <w:divsChild>
                                <w:div w:id="106973156">
                                  <w:marLeft w:val="0"/>
                                  <w:marRight w:val="0"/>
                                  <w:marTop w:val="0"/>
                                  <w:marBottom w:val="0"/>
                                  <w:divBdr>
                                    <w:top w:val="none" w:sz="0" w:space="0" w:color="auto"/>
                                    <w:left w:val="none" w:sz="0" w:space="0" w:color="auto"/>
                                    <w:bottom w:val="none" w:sz="0" w:space="0" w:color="auto"/>
                                    <w:right w:val="none" w:sz="0" w:space="0" w:color="auto"/>
                                  </w:divBdr>
                                  <w:divsChild>
                                    <w:div w:id="613950033">
                                      <w:marLeft w:val="0"/>
                                      <w:marRight w:val="0"/>
                                      <w:marTop w:val="0"/>
                                      <w:marBottom w:val="0"/>
                                      <w:divBdr>
                                        <w:top w:val="none" w:sz="0" w:space="0" w:color="auto"/>
                                        <w:left w:val="none" w:sz="0" w:space="0" w:color="auto"/>
                                        <w:bottom w:val="none" w:sz="0" w:space="0" w:color="auto"/>
                                        <w:right w:val="none" w:sz="0" w:space="0" w:color="auto"/>
                                      </w:divBdr>
                                      <w:divsChild>
                                        <w:div w:id="1881163612">
                                          <w:marLeft w:val="0"/>
                                          <w:marRight w:val="0"/>
                                          <w:marTop w:val="0"/>
                                          <w:marBottom w:val="0"/>
                                          <w:divBdr>
                                            <w:top w:val="none" w:sz="0" w:space="0" w:color="auto"/>
                                            <w:left w:val="none" w:sz="0" w:space="0" w:color="auto"/>
                                            <w:bottom w:val="none" w:sz="0" w:space="0" w:color="auto"/>
                                            <w:right w:val="none" w:sz="0" w:space="0" w:color="auto"/>
                                          </w:divBdr>
                                          <w:divsChild>
                                            <w:div w:id="697320909">
                                              <w:marLeft w:val="0"/>
                                              <w:marRight w:val="0"/>
                                              <w:marTop w:val="0"/>
                                              <w:marBottom w:val="0"/>
                                              <w:divBdr>
                                                <w:top w:val="single" w:sz="4" w:space="0" w:color="EEEEEE"/>
                                                <w:left w:val="single" w:sz="2" w:space="0" w:color="EEEEEE"/>
                                                <w:bottom w:val="single" w:sz="4" w:space="0" w:color="EEEEEE"/>
                                                <w:right w:val="single" w:sz="4" w:space="0" w:color="EEEEEE"/>
                                              </w:divBdr>
                                              <w:divsChild>
                                                <w:div w:id="191439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002417562">
      <w:bodyDiv w:val="1"/>
      <w:marLeft w:val="0"/>
      <w:marRight w:val="0"/>
      <w:marTop w:val="0"/>
      <w:marBottom w:val="0"/>
      <w:divBdr>
        <w:top w:val="none" w:sz="0" w:space="0" w:color="auto"/>
        <w:left w:val="none" w:sz="0" w:space="0" w:color="auto"/>
        <w:bottom w:val="none" w:sz="0" w:space="0" w:color="auto"/>
        <w:right w:val="none" w:sz="0" w:space="0" w:color="auto"/>
      </w:divBdr>
    </w:div>
    <w:div w:id="2050031777">
      <w:bodyDiv w:val="1"/>
      <w:marLeft w:val="0"/>
      <w:marRight w:val="0"/>
      <w:marTop w:val="0"/>
      <w:marBottom w:val="0"/>
      <w:divBdr>
        <w:top w:val="none" w:sz="0" w:space="0" w:color="auto"/>
        <w:left w:val="none" w:sz="0" w:space="0" w:color="auto"/>
        <w:bottom w:val="none" w:sz="0" w:space="0" w:color="auto"/>
        <w:right w:val="none" w:sz="0" w:space="0" w:color="auto"/>
      </w:divBdr>
    </w:div>
    <w:div w:id="2066488022">
      <w:bodyDiv w:val="1"/>
      <w:marLeft w:val="0"/>
      <w:marRight w:val="0"/>
      <w:marTop w:val="0"/>
      <w:marBottom w:val="0"/>
      <w:divBdr>
        <w:top w:val="none" w:sz="0" w:space="0" w:color="auto"/>
        <w:left w:val="none" w:sz="0" w:space="0" w:color="auto"/>
        <w:bottom w:val="none" w:sz="0" w:space="0" w:color="auto"/>
        <w:right w:val="none" w:sz="0" w:space="0" w:color="auto"/>
      </w:divBdr>
    </w:div>
    <w:div w:id="2086144584">
      <w:bodyDiv w:val="1"/>
      <w:marLeft w:val="0"/>
      <w:marRight w:val="0"/>
      <w:marTop w:val="0"/>
      <w:marBottom w:val="0"/>
      <w:divBdr>
        <w:top w:val="none" w:sz="0" w:space="0" w:color="auto"/>
        <w:left w:val="none" w:sz="0" w:space="0" w:color="auto"/>
        <w:bottom w:val="none" w:sz="0" w:space="0" w:color="auto"/>
        <w:right w:val="none" w:sz="0" w:space="0" w:color="auto"/>
      </w:divBdr>
    </w:div>
    <w:div w:id="2088113091">
      <w:bodyDiv w:val="1"/>
      <w:marLeft w:val="0"/>
      <w:marRight w:val="0"/>
      <w:marTop w:val="0"/>
      <w:marBottom w:val="0"/>
      <w:divBdr>
        <w:top w:val="none" w:sz="0" w:space="0" w:color="auto"/>
        <w:left w:val="none" w:sz="0" w:space="0" w:color="auto"/>
        <w:bottom w:val="none" w:sz="0" w:space="0" w:color="auto"/>
        <w:right w:val="none" w:sz="0" w:space="0" w:color="auto"/>
      </w:divBdr>
      <w:divsChild>
        <w:div w:id="749353070">
          <w:marLeft w:val="0"/>
          <w:marRight w:val="0"/>
          <w:marTop w:val="0"/>
          <w:marBottom w:val="0"/>
          <w:divBdr>
            <w:top w:val="none" w:sz="0" w:space="0" w:color="auto"/>
            <w:left w:val="none" w:sz="0" w:space="0" w:color="auto"/>
            <w:bottom w:val="none" w:sz="0" w:space="0" w:color="auto"/>
            <w:right w:val="none" w:sz="0" w:space="0" w:color="auto"/>
          </w:divBdr>
          <w:divsChild>
            <w:div w:id="278876066">
              <w:marLeft w:val="0"/>
              <w:marRight w:val="0"/>
              <w:marTop w:val="0"/>
              <w:marBottom w:val="0"/>
              <w:divBdr>
                <w:top w:val="none" w:sz="0" w:space="0" w:color="auto"/>
                <w:left w:val="none" w:sz="0" w:space="0" w:color="auto"/>
                <w:bottom w:val="none" w:sz="0" w:space="0" w:color="auto"/>
                <w:right w:val="none" w:sz="0" w:space="0" w:color="auto"/>
              </w:divBdr>
              <w:divsChild>
                <w:div w:id="1659263666">
                  <w:marLeft w:val="0"/>
                  <w:marRight w:val="0"/>
                  <w:marTop w:val="0"/>
                  <w:marBottom w:val="0"/>
                  <w:divBdr>
                    <w:top w:val="none" w:sz="0" w:space="0" w:color="auto"/>
                    <w:left w:val="none" w:sz="0" w:space="0" w:color="auto"/>
                    <w:bottom w:val="none" w:sz="0" w:space="0" w:color="auto"/>
                    <w:right w:val="none" w:sz="0" w:space="0" w:color="auto"/>
                  </w:divBdr>
                  <w:divsChild>
                    <w:div w:id="190002139">
                      <w:marLeft w:val="0"/>
                      <w:marRight w:val="0"/>
                      <w:marTop w:val="0"/>
                      <w:marBottom w:val="0"/>
                      <w:divBdr>
                        <w:top w:val="none" w:sz="0" w:space="0" w:color="auto"/>
                        <w:left w:val="none" w:sz="0" w:space="0" w:color="auto"/>
                        <w:bottom w:val="none" w:sz="0" w:space="0" w:color="auto"/>
                        <w:right w:val="none" w:sz="0" w:space="0" w:color="auto"/>
                      </w:divBdr>
                      <w:divsChild>
                        <w:div w:id="2071609489">
                          <w:marLeft w:val="0"/>
                          <w:marRight w:val="0"/>
                          <w:marTop w:val="0"/>
                          <w:marBottom w:val="0"/>
                          <w:divBdr>
                            <w:top w:val="none" w:sz="0" w:space="0" w:color="auto"/>
                            <w:left w:val="none" w:sz="0" w:space="0" w:color="auto"/>
                            <w:bottom w:val="none" w:sz="0" w:space="0" w:color="auto"/>
                            <w:right w:val="none" w:sz="0" w:space="0" w:color="auto"/>
                          </w:divBdr>
                          <w:divsChild>
                            <w:div w:id="529610849">
                              <w:marLeft w:val="0"/>
                              <w:marRight w:val="0"/>
                              <w:marTop w:val="0"/>
                              <w:marBottom w:val="0"/>
                              <w:divBdr>
                                <w:top w:val="none" w:sz="0" w:space="0" w:color="auto"/>
                                <w:left w:val="none" w:sz="0" w:space="0" w:color="auto"/>
                                <w:bottom w:val="none" w:sz="0" w:space="0" w:color="auto"/>
                                <w:right w:val="none" w:sz="0" w:space="0" w:color="auto"/>
                              </w:divBdr>
                              <w:divsChild>
                                <w:div w:id="174043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454257938">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523398552">
          <w:marLeft w:val="547"/>
          <w:marRight w:val="0"/>
          <w:marTop w:val="130"/>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CFDB1F-B400-4D85-8D0F-B9A09A4E1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7</Pages>
  <Words>1896</Words>
  <Characters>10811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12682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Hao Peng</dc:creator>
  <cp:lastModifiedBy>Zhisong</cp:lastModifiedBy>
  <cp:revision>9</cp:revision>
  <cp:lastPrinted>2016-09-15T07:38:00Z</cp:lastPrinted>
  <dcterms:created xsi:type="dcterms:W3CDTF">2017-11-18T03:18:00Z</dcterms:created>
  <dcterms:modified xsi:type="dcterms:W3CDTF">2017-11-18T04:21:00Z</dcterms:modified>
</cp:coreProperties>
</file>